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0"/>
        <w:jc w:val="center"/>
        <w:rPr>
          <w:rFonts w:ascii="Times New Roman" w:hAnsi="Times New Roman"/>
          <w:b/>
          <w:sz w:val="28"/>
          <w:szCs w:val="28"/>
        </w:rPr>
      </w:pPr>
      <w:bookmarkStart w:id="0" w:name="_GoBack"/>
      <w:bookmarkEnd w:id="0"/>
      <w:r>
        <w:rPr>
          <w:rFonts w:ascii="Times New Roman" w:hAnsi="Times New Roman"/>
          <w:b/>
          <w:sz w:val="28"/>
          <w:szCs w:val="28"/>
        </w:rPr>
        <w:t>МЕТОДИЧЕСКИЕ РЕКОМЕНДАЦИИ</w:t>
      </w:r>
    </w:p>
    <w:p>
      <w:pPr>
        <w:pStyle w:val="Normal"/>
        <w:ind w:hanging="0"/>
        <w:jc w:val="center"/>
        <w:rPr>
          <w:rFonts w:ascii="Times New Roman" w:hAnsi="Times New Roman"/>
          <w:b/>
          <w:sz w:val="28"/>
          <w:szCs w:val="28"/>
        </w:rPr>
      </w:pPr>
      <w:r>
        <w:rPr>
          <w:rFonts w:ascii="Times New Roman" w:hAnsi="Times New Roman"/>
          <w:b/>
          <w:sz w:val="28"/>
          <w:szCs w:val="28"/>
        </w:rPr>
        <w:t>ПО ВОПРОСАМ ПРЕДСТАВЛЕНИЯ СВЕДЕНИЙ</w:t>
      </w:r>
    </w:p>
    <w:p>
      <w:pPr>
        <w:pStyle w:val="Normal"/>
        <w:ind w:hanging="0"/>
        <w:jc w:val="center"/>
        <w:rPr>
          <w:rFonts w:ascii="Times New Roman" w:hAnsi="Times New Roman"/>
          <w:b/>
          <w:sz w:val="28"/>
          <w:szCs w:val="28"/>
        </w:rPr>
      </w:pPr>
      <w:r>
        <w:rPr>
          <w:rFonts w:ascii="Times New Roman" w:hAnsi="Times New Roman"/>
          <w:b/>
          <w:sz w:val="28"/>
          <w:szCs w:val="28"/>
        </w:rPr>
        <w:t xml:space="preserve">О ДОХОДАХ, РАСХОДАХ, ОБ ИМУЩЕСТВЕ И ОБЯЗАТЕЛЬСТВАХ ИМУЩЕСТВЕННОГО ХАРАКТЕРА </w:t>
      </w:r>
    </w:p>
    <w:p>
      <w:pPr>
        <w:pStyle w:val="Normal"/>
        <w:ind w:hanging="0"/>
        <w:jc w:val="center"/>
        <w:rPr>
          <w:rFonts w:ascii="Times New Roman" w:hAnsi="Times New Roman"/>
          <w:b/>
          <w:sz w:val="28"/>
          <w:szCs w:val="28"/>
        </w:rPr>
      </w:pPr>
      <w:r>
        <w:rPr>
          <w:rFonts w:ascii="Times New Roman" w:hAnsi="Times New Roman"/>
          <w:b/>
          <w:sz w:val="28"/>
          <w:szCs w:val="28"/>
        </w:rPr>
        <w:t xml:space="preserve">И ЗАПОЛНЕНИЯ СООТВЕТСТВУЮЩЕЙ ФОРМЫ СПРАВКИ </w:t>
      </w:r>
    </w:p>
    <w:p>
      <w:pPr>
        <w:pStyle w:val="Normal"/>
        <w:ind w:hanging="0"/>
        <w:jc w:val="center"/>
        <w:rPr>
          <w:rFonts w:ascii="Times New Roman" w:hAnsi="Times New Roman"/>
          <w:sz w:val="28"/>
          <w:szCs w:val="28"/>
        </w:rPr>
      </w:pPr>
      <w:r>
        <w:rPr>
          <w:rFonts w:ascii="Times New Roman" w:hAnsi="Times New Roman"/>
          <w:sz w:val="28"/>
          <w:szCs w:val="28"/>
        </w:rPr>
        <w:t>в 2024 году (за отчетный 2023 год)</w:t>
      </w:r>
    </w:p>
    <w:p>
      <w:pPr>
        <w:pStyle w:val="Normal"/>
        <w:ind w:hanging="0"/>
        <w:jc w:val="center"/>
        <w:rPr>
          <w:rFonts w:ascii="Times New Roman" w:hAnsi="Times New Roman"/>
          <w:sz w:val="28"/>
          <w:szCs w:val="28"/>
        </w:rPr>
      </w:pPr>
      <w:r>
        <w:rPr>
          <w:rFonts w:ascii="Times New Roman" w:hAnsi="Times New Roman"/>
          <w:sz w:val="28"/>
          <w:szCs w:val="28"/>
        </w:rPr>
      </w:r>
    </w:p>
    <w:p>
      <w:pPr>
        <w:pStyle w:val="Normal"/>
        <w:ind w:firstLine="567"/>
        <w:rPr>
          <w:rFonts w:ascii="Times New Roman" w:hAnsi="Times New Roman"/>
          <w:sz w:val="28"/>
          <w:szCs w:val="28"/>
        </w:rPr>
      </w:pPr>
      <w:r>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pPr>
        <w:pStyle w:val="Normal"/>
        <w:ind w:firstLine="567"/>
        <w:rPr>
          <w:rFonts w:ascii="Times New Roman" w:hAnsi="Times New Roman"/>
          <w:sz w:val="28"/>
          <w:szCs w:val="28"/>
        </w:rPr>
      </w:pPr>
      <w:r>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2" w:tgtFrame="consultantplus://offline/ref=57E0B1C8ADAC653FBEA55D1E9049ED91A63B5BC1BDB036D12C5B445229pEa3J">
        <w:r>
          <w:rPr>
            <w:rFonts w:ascii="Times New Roman" w:hAnsi="Times New Roman"/>
            <w:sz w:val="28"/>
            <w:szCs w:val="28"/>
          </w:rPr>
          <w:t>методические рекомендации</w:t>
        </w:r>
      </w:hyperlink>
      <w:r>
        <w:rPr>
          <w:rFonts w:ascii="Times New Roman" w:hAnsi="Times New Roman"/>
          <w:sz w:val="28"/>
          <w:szCs w:val="28"/>
        </w:rPr>
        <w:t xml:space="preserve"> и другие инструктивно-методические материалы по данным вопросам.</w:t>
      </w:r>
    </w:p>
    <w:p>
      <w:pPr>
        <w:pStyle w:val="Normal"/>
        <w:ind w:firstLine="567"/>
        <w:rPr>
          <w:rFonts w:ascii="Times New Roman" w:hAnsi="Times New Roman"/>
          <w:sz w:val="28"/>
          <w:szCs w:val="28"/>
        </w:rPr>
      </w:pPr>
      <w:r>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pPr>
        <w:pStyle w:val="Normal"/>
        <w:ind w:firstLine="567"/>
        <w:rPr>
          <w:rFonts w:ascii="Times New Roman" w:hAnsi="Times New Roman"/>
          <w:sz w:val="28"/>
          <w:szCs w:val="28"/>
        </w:rPr>
      </w:pPr>
      <w:r>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pPr>
        <w:pStyle w:val="Normal"/>
        <w:ind w:firstLine="567"/>
        <w:rPr>
          <w:rFonts w:ascii="Times New Roman" w:hAnsi="Times New Roman"/>
          <w:sz w:val="28"/>
          <w:szCs w:val="28"/>
        </w:rPr>
      </w:pPr>
      <w:r>
        <w:rPr>
          <w:rFonts w:ascii="Times New Roman" w:hAnsi="Times New Roman"/>
          <w:sz w:val="28"/>
          <w:szCs w:val="28"/>
        </w:rPr>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pPr>
        <w:pStyle w:val="Normal"/>
        <w:ind w:firstLine="567"/>
        <w:rPr>
          <w:rFonts w:ascii="Times New Roman" w:hAnsi="Times New Roman"/>
          <w:sz w:val="28"/>
          <w:szCs w:val="28"/>
        </w:rPr>
      </w:pPr>
      <w:r>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pPr>
        <w:pStyle w:val="Normal"/>
        <w:ind w:firstLine="567"/>
        <w:rPr>
          <w:rFonts w:ascii="Times New Roman" w:hAnsi="Times New Roman"/>
          <w:sz w:val="28"/>
          <w:szCs w:val="28"/>
        </w:rPr>
      </w:pPr>
      <w:r>
        <w:rPr>
          <w:rFonts w:ascii="Times New Roman" w:hAnsi="Times New Roman"/>
          <w:sz w:val="28"/>
          <w:szCs w:val="28"/>
        </w:rPr>
        <w:t>При этом подразделениям по профилактике коррупционных и иных правонарушений</w:t>
      </w:r>
      <w:r>
        <w:rPr>
          <w:rStyle w:val="Annotationreference"/>
          <w:rFonts w:ascii="Times New Roman" w:hAnsi="Times New Roman"/>
          <w:sz w:val="28"/>
          <w:szCs w:val="28"/>
        </w:rPr>
        <w:t xml:space="preserve"> </w:t>
      </w:r>
      <w:r>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pPr>
        <w:pStyle w:val="Normal"/>
        <w:ind w:firstLine="567"/>
        <w:rPr>
          <w:rFonts w:ascii="Times New Roman" w:hAnsi="Times New Roman"/>
          <w:sz w:val="28"/>
          <w:szCs w:val="28"/>
        </w:rPr>
      </w:pPr>
      <w:r>
        <w:rPr>
          <w:rFonts w:ascii="Times New Roman" w:hAnsi="Times New Roman"/>
          <w:sz w:val="28"/>
          <w:szCs w:val="28"/>
        </w:rPr>
      </w:r>
    </w:p>
    <w:p>
      <w:pPr>
        <w:pStyle w:val="ListParagraph"/>
        <w:tabs>
          <w:tab w:val="clear" w:pos="709"/>
          <w:tab w:val="left" w:pos="426" w:leader="none"/>
        </w:tabs>
        <w:ind w:left="0" w:hanging="0"/>
        <w:jc w:val="center"/>
        <w:rPr>
          <w:rFonts w:ascii="Times New Roman" w:hAnsi="Times New Roman"/>
          <w:b/>
          <w:sz w:val="28"/>
          <w:szCs w:val="28"/>
        </w:rPr>
      </w:pPr>
      <w:r>
        <w:rPr>
          <w:rFonts w:ascii="Times New Roman" w:hAnsi="Times New Roman"/>
          <w:b/>
          <w:sz w:val="28"/>
          <w:szCs w:val="28"/>
          <w:lang w:val="en-US"/>
        </w:rPr>
        <w:t>I</w:t>
      </w:r>
      <w:r>
        <w:rPr>
          <w:rFonts w:ascii="Times New Roman" w:hAnsi="Times New Roman"/>
          <w:b/>
          <w:sz w:val="28"/>
          <w:szCs w:val="28"/>
        </w:rPr>
        <w:t>. Представление сведений о доходах, расходах,</w:t>
      </w:r>
    </w:p>
    <w:p>
      <w:pPr>
        <w:pStyle w:val="ListParagraph"/>
        <w:ind w:left="0" w:hanging="0"/>
        <w:jc w:val="center"/>
        <w:rPr>
          <w:rFonts w:ascii="Times New Roman" w:hAnsi="Times New Roman"/>
          <w:b/>
          <w:sz w:val="28"/>
          <w:szCs w:val="28"/>
        </w:rPr>
      </w:pPr>
      <w:r>
        <w:rPr>
          <w:rFonts w:ascii="Times New Roman" w:hAnsi="Times New Roman"/>
          <w:b/>
          <w:sz w:val="28"/>
          <w:szCs w:val="28"/>
        </w:rPr>
        <w:t>об имуществе и обязательствах имущественного характера</w:t>
      </w:r>
    </w:p>
    <w:p>
      <w:pPr>
        <w:pStyle w:val="Normal"/>
        <w:jc w:val="center"/>
        <w:rPr>
          <w:rFonts w:ascii="Times New Roman" w:hAnsi="Times New Roman"/>
          <w:sz w:val="28"/>
          <w:szCs w:val="28"/>
        </w:rPr>
      </w:pPr>
      <w:r>
        <w:rPr>
          <w:rFonts w:ascii="Times New Roman" w:hAnsi="Times New Roman"/>
          <w:sz w:val="28"/>
          <w:szCs w:val="28"/>
        </w:rPr>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pPr>
        <w:pStyle w:val="Normal"/>
        <w:tabs>
          <w:tab w:val="clear" w:pos="709"/>
          <w:tab w:val="left" w:pos="567" w:leader="none"/>
        </w:tabs>
        <w:ind w:firstLine="567"/>
        <w:rPr>
          <w:rFonts w:ascii="Times New Roman" w:hAnsi="Times New Roman"/>
          <w:b/>
          <w:sz w:val="28"/>
          <w:szCs w:val="28"/>
        </w:rPr>
      </w:pPr>
      <w:r>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pPr>
        <w:pStyle w:val="ListParagraph"/>
        <w:numPr>
          <w:ilvl w:val="0"/>
          <w:numId w:val="1"/>
        </w:numPr>
        <w:tabs>
          <w:tab w:val="clear" w:pos="709"/>
          <w:tab w:val="left" w:pos="567" w:leader="none"/>
          <w:tab w:val="left" w:pos="993" w:leader="none"/>
        </w:tabs>
        <w:ind w:left="0" w:firstLine="567"/>
        <w:rPr>
          <w:rFonts w:ascii="Times New Roman" w:hAnsi="Times New Roman"/>
          <w:sz w:val="28"/>
          <w:szCs w:val="28"/>
        </w:rPr>
      </w:pPr>
      <w:r>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pPr>
        <w:pStyle w:val="ListParagraph"/>
        <w:numPr>
          <w:ilvl w:val="0"/>
          <w:numId w:val="2"/>
        </w:numPr>
        <w:tabs>
          <w:tab w:val="clear" w:pos="709"/>
          <w:tab w:val="left" w:pos="567" w:leader="none"/>
        </w:tabs>
        <w:spacing w:before="0" w:after="0"/>
        <w:ind w:left="0" w:firstLine="568"/>
        <w:contextualSpacing w:val="false"/>
        <w:rPr>
          <w:rFonts w:ascii="Times New Roman" w:hAnsi="Times New Roman"/>
          <w:sz w:val="28"/>
          <w:szCs w:val="28"/>
        </w:rPr>
      </w:pPr>
      <w:r>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 в подпункте 2 настоящего пункта);</w:t>
      </w:r>
    </w:p>
    <w:p>
      <w:pPr>
        <w:pStyle w:val="ListParagraph"/>
        <w:numPr>
          <w:ilvl w:val="0"/>
          <w:numId w:val="2"/>
        </w:numPr>
        <w:tabs>
          <w:tab w:val="clear" w:pos="709"/>
          <w:tab w:val="left" w:pos="567" w:leader="none"/>
        </w:tabs>
        <w:spacing w:before="0" w:after="0"/>
        <w:ind w:left="0" w:firstLine="568"/>
        <w:contextualSpacing w:val="false"/>
        <w:rPr>
          <w:rFonts w:ascii="Times New Roman" w:hAnsi="Times New Roman"/>
          <w:sz w:val="28"/>
          <w:szCs w:val="28"/>
        </w:rPr>
      </w:pPr>
      <w:r>
        <w:rPr>
          <w:rFonts w:ascii="Times New Roman" w:hAnsi="Times New Roman"/>
          <w:sz w:val="28"/>
          <w:szCs w:val="28"/>
        </w:rPr>
        <w:t xml:space="preserve">лицами, замещающими муниципальные должности депутатов представительных органов муниципальных образований или должности депутатов законодательных органов субъектов Российской Федерации и осуществляющими свои полномочия без отрыва от основной деятельности (на непостоянной основе),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w:t>
      </w:r>
    </w:p>
    <w:p>
      <w:pPr>
        <w:pStyle w:val="ListParagraph"/>
        <w:tabs>
          <w:tab w:val="clear" w:pos="709"/>
          <w:tab w:val="left" w:pos="567" w:leader="none"/>
        </w:tabs>
        <w:spacing w:before="0" w:after="0"/>
        <w:ind w:left="0" w:firstLine="568"/>
        <w:contextualSpacing w:val="false"/>
        <w:rPr>
          <w:rFonts w:ascii="Times New Roman" w:hAnsi="Times New Roman"/>
          <w:sz w:val="28"/>
          <w:szCs w:val="28"/>
        </w:rPr>
      </w:pPr>
      <w:r>
        <w:rPr>
          <w:rFonts w:ascii="Times New Roman" w:hAnsi="Times New Roman"/>
          <w:sz w:val="28"/>
          <w:szCs w:val="28"/>
        </w:rPr>
        <w:t>В случае, если в течение отчетного периода такие сделки не совершались:</w:t>
      </w:r>
    </w:p>
    <w:p>
      <w:pPr>
        <w:pStyle w:val="ListParagraph"/>
        <w:tabs>
          <w:tab w:val="clear" w:pos="709"/>
          <w:tab w:val="left" w:pos="567" w:leader="none"/>
        </w:tabs>
        <w:spacing w:before="0" w:after="0"/>
        <w:ind w:left="0" w:firstLine="568"/>
        <w:contextualSpacing w:val="false"/>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представительных органов муниципальных образований и осуществляющих свои полномочия на непостоянной основе сообщают об этом высшему должностному лицу субъекта Российской Федерации в порядке, установленном законом субъекта Российской Федерации;</w:t>
      </w:r>
    </w:p>
    <w:p>
      <w:pPr>
        <w:pStyle w:val="ListParagraph"/>
        <w:tabs>
          <w:tab w:val="clear" w:pos="709"/>
          <w:tab w:val="left" w:pos="567" w:leader="none"/>
        </w:tabs>
        <w:spacing w:before="0" w:after="0"/>
        <w:ind w:left="0" w:firstLine="568"/>
        <w:contextualSpacing w:val="false"/>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pPr>
        <w:pStyle w:val="ListParagraph"/>
        <w:tabs>
          <w:tab w:val="clear" w:pos="709"/>
          <w:tab w:val="left" w:pos="567" w:leader="none"/>
        </w:tabs>
        <w:spacing w:before="0" w:after="0"/>
        <w:ind w:left="0" w:firstLine="568"/>
        <w:contextualSpacing w:val="false"/>
        <w:rPr>
          <w:rFonts w:ascii="Times New Roman" w:hAnsi="Times New Roman"/>
          <w:sz w:val="28"/>
          <w:szCs w:val="28"/>
        </w:rPr>
      </w:pPr>
      <w:r>
        <w:rPr>
          <w:rFonts w:ascii="Times New Roman" w:hAnsi="Times New Roman"/>
          <w:sz w:val="28"/>
          <w:szCs w:val="28"/>
        </w:rPr>
        <w:t>Дополнительные пояснения содержатся в Инструктивно-методических материалах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w:t>
      </w:r>
      <w:hyperlink r:id="rId3">
        <w:r>
          <w:rPr>
            <w:rStyle w:val="-"/>
            <w:rFonts w:ascii="Times New Roman" w:hAnsi="Times New Roman"/>
            <w:sz w:val="28"/>
            <w:szCs w:val="28"/>
          </w:rPr>
          <w:t>https://mintrud.gov.ru/ministry/programms/anticorruption/9/instruktivno-metodicheskie-materialy-po-fz</w:t>
        </w:r>
      </w:hyperlink>
      <w:r>
        <w:rPr>
          <w:rFonts w:ascii="Times New Roman" w:hAnsi="Times New Roman"/>
          <w:sz w:val="28"/>
          <w:szCs w:val="28"/>
        </w:rPr>
        <w:t>).</w:t>
      </w:r>
    </w:p>
    <w:p>
      <w:pPr>
        <w:pStyle w:val="ListParagraph"/>
        <w:numPr>
          <w:ilvl w:val="0"/>
          <w:numId w:val="2"/>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 xml:space="preserve">государственными и муниципальными служащими, замещающими должности, включенные в </w:t>
      </w:r>
      <w:hyperlink r:id="rId4" w:tgtFrame="consultantplus://offline/ref=C9E7374AA1332C6CF9FF0059DC9BC42D7E0C4094E90E8D4E87A0DE0B00JBsBL">
        <w:r>
          <w:rPr>
            <w:rFonts w:ascii="Times New Roman" w:hAnsi="Times New Roman"/>
            <w:sz w:val="28"/>
            <w:szCs w:val="28"/>
          </w:rPr>
          <w:t>перечни</w:t>
        </w:r>
      </w:hyperlink>
      <w:r>
        <w:rPr>
          <w:rFonts w:ascii="Times New Roman" w:hAnsi="Times New Roman"/>
          <w:sz w:val="28"/>
          <w:szCs w:val="28"/>
        </w:rPr>
        <w:t>, утвержденные нормативными правовыми актами Российской Федерации;</w:t>
      </w:r>
    </w:p>
    <w:p>
      <w:pPr>
        <w:pStyle w:val="ListParagraph"/>
        <w:numPr>
          <w:ilvl w:val="0"/>
          <w:numId w:val="2"/>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работниками государственных внебюджетных фондов, государственных корпораций (компаний), иных организаций, создаваемых Российской Федерацией на основании федеральных законов, публично-правовых компаний,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pPr>
        <w:pStyle w:val="ConsPlusNormal"/>
        <w:numPr>
          <w:ilvl w:val="0"/>
          <w:numId w:val="2"/>
        </w:numPr>
        <w:tabs>
          <w:tab w:val="clear" w:pos="709"/>
          <w:tab w:val="left" w:pos="567" w:leader="none"/>
        </w:tabs>
        <w:ind w:left="0" w:firstLine="567"/>
        <w:jc w:val="both"/>
        <w:rPr/>
      </w:pPr>
      <w:r>
        <w:rPr/>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5" w:tgtFrame="consultantplus://offline/ref=176F7DE9F43BBC5D4BD135AAE1CAD04D0FAF9650A130B33DA87DA13E97FAF95DCF18F97FDC1FE2FAH7g2M">
        <w:r>
          <w:rPr/>
          <w:t>перечень</w:t>
        </w:r>
      </w:hyperlink>
      <w:r>
        <w:rPr/>
        <w:t>, утвержденный Советом директоров Центрального банка Российской Федерации;</w:t>
      </w:r>
    </w:p>
    <w:p>
      <w:pPr>
        <w:pStyle w:val="ListParagraph"/>
        <w:numPr>
          <w:ilvl w:val="0"/>
          <w:numId w:val="2"/>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6" w:tgtFrame="consultantplus://offline/ref=7F2EEDDD06F168B694690D2DE649735BC9E53CBFC16FEC31087E4E96CAJ2nFL">
        <w:r>
          <w:rPr>
            <w:rFonts w:ascii="Times New Roman" w:hAnsi="Times New Roman"/>
            <w:sz w:val="28"/>
            <w:szCs w:val="28"/>
          </w:rPr>
          <w:t>перечни</w:t>
        </w:r>
      </w:hyperlink>
      <w:r>
        <w:rPr>
          <w:rFonts w:ascii="Times New Roman" w:hAnsi="Times New Roman"/>
          <w:sz w:val="28"/>
          <w:szCs w:val="28"/>
        </w:rPr>
        <w:t>, утвержденные федеральными государственными органами;</w:t>
      </w:r>
    </w:p>
    <w:p>
      <w:pPr>
        <w:pStyle w:val="ListParagraph"/>
        <w:numPr>
          <w:ilvl w:val="0"/>
          <w:numId w:val="2"/>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pPr>
        <w:pStyle w:val="ListParagraph"/>
        <w:numPr>
          <w:ilvl w:val="0"/>
          <w:numId w:val="2"/>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pPr>
        <w:pStyle w:val="ListParagraph"/>
        <w:numPr>
          <w:ilvl w:val="0"/>
          <w:numId w:val="2"/>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иными лицами в соответствии с законодательством Российской Федерации.</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pPr>
        <w:pStyle w:val="ListParagraph"/>
        <w:numPr>
          <w:ilvl w:val="0"/>
          <w:numId w:val="3"/>
        </w:numPr>
        <w:tabs>
          <w:tab w:val="clear" w:pos="709"/>
          <w:tab w:val="left" w:pos="0" w:leader="none"/>
          <w:tab w:val="left" w:pos="567" w:leader="none"/>
        </w:tabs>
        <w:ind w:left="0" w:firstLine="567"/>
        <w:rPr>
          <w:rFonts w:ascii="Times New Roman" w:hAnsi="Times New Roman"/>
          <w:sz w:val="28"/>
          <w:szCs w:val="28"/>
        </w:rPr>
      </w:pPr>
      <w:r>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pPr>
        <w:pStyle w:val="ListParagraph"/>
        <w:numPr>
          <w:ilvl w:val="0"/>
          <w:numId w:val="3"/>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любой должности государственной службы Российской Федерации (поступающим на службу);</w:t>
      </w:r>
    </w:p>
    <w:p>
      <w:pPr>
        <w:pStyle w:val="ListParagraph"/>
        <w:numPr>
          <w:ilvl w:val="0"/>
          <w:numId w:val="3"/>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pPr>
        <w:pStyle w:val="ListParagraph"/>
        <w:numPr>
          <w:ilvl w:val="0"/>
          <w:numId w:val="3"/>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должности в государственных внебюджетных фондах, государственных корпорациях (компаниях), иных организациях, создаваемых Российской Федерацией на основании федеральных законов, публично-правовых компаниях,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pPr>
        <w:pStyle w:val="ListParagraph"/>
        <w:numPr>
          <w:ilvl w:val="0"/>
          <w:numId w:val="3"/>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7" w:tgtFrame="consultantplus://offline/ref=3743F552A0D416E80BEAF690826125BB530BB097B6A5A5C17137C1E72FF3E91DCF3284BA9D2A6279g3rBM">
        <w:r>
          <w:rPr>
            <w:rFonts w:ascii="Times New Roman" w:hAnsi="Times New Roman"/>
            <w:sz w:val="28"/>
            <w:szCs w:val="28"/>
          </w:rPr>
          <w:t>перечень</w:t>
        </w:r>
      </w:hyperlink>
      <w:r>
        <w:rPr>
          <w:rFonts w:ascii="Times New Roman" w:hAnsi="Times New Roman"/>
          <w:sz w:val="28"/>
          <w:szCs w:val="28"/>
        </w:rPr>
        <w:t>, утвержденный Советом директоров Центрального банка Российской Федерации;</w:t>
      </w:r>
    </w:p>
    <w:p>
      <w:pPr>
        <w:pStyle w:val="ListParagraph"/>
        <w:numPr>
          <w:ilvl w:val="0"/>
          <w:numId w:val="3"/>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8" w:tgtFrame="consultantplus://offline/ref=7F2EEDDD06F168B694690D2DE649735BC9E53CBFC16FEC31087E4E96CAJ2nFL">
        <w:r>
          <w:rPr>
            <w:rFonts w:ascii="Times New Roman" w:hAnsi="Times New Roman"/>
            <w:sz w:val="28"/>
            <w:szCs w:val="28"/>
          </w:rPr>
          <w:t>перечни</w:t>
        </w:r>
      </w:hyperlink>
      <w:r>
        <w:rPr>
          <w:rFonts w:ascii="Times New Roman" w:hAnsi="Times New Roman"/>
          <w:sz w:val="28"/>
          <w:szCs w:val="28"/>
        </w:rPr>
        <w:t>, утвержденные федеральными государственными органами;</w:t>
      </w:r>
    </w:p>
    <w:p>
      <w:pPr>
        <w:pStyle w:val="ListParagraph"/>
        <w:numPr>
          <w:ilvl w:val="0"/>
          <w:numId w:val="3"/>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pPr>
        <w:pStyle w:val="ListParagraph"/>
        <w:numPr>
          <w:ilvl w:val="0"/>
          <w:numId w:val="3"/>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pPr>
        <w:pStyle w:val="ListParagraph"/>
        <w:numPr>
          <w:ilvl w:val="0"/>
          <w:numId w:val="3"/>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иных должностей в соответствии с законодательством Российской Федерации.</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Государственный гражданский служащий</w:t>
      </w:r>
      <w:r>
        <w:rPr>
          <w:rFonts w:ascii="Times New Roman" w:hAnsi="Times New Roman"/>
          <w:sz w:val="28"/>
        </w:rPr>
        <w:t xml:space="preserve"> Российской Федерации</w:t>
      </w:r>
      <w:r>
        <w:rPr>
          <w:rFonts w:ascii="Times New Roman" w:hAnsi="Times New Roman"/>
          <w:sz w:val="28"/>
          <w:szCs w:val="28"/>
        </w:rPr>
        <w:t xml:space="preserve"> и гражданин, претендующие на включение в федеральный кадровый резерв на государственной гражданской службе</w:t>
      </w:r>
      <w:r>
        <w:rPr>
          <w:rFonts w:ascii="Times New Roman" w:hAnsi="Times New Roman"/>
          <w:sz w:val="28"/>
        </w:rPr>
        <w:t xml:space="preserve"> Российской Федерации (далее – федеральный кадровый резерв)</w:t>
      </w:r>
      <w:r>
        <w:rPr>
          <w:rFonts w:ascii="Times New Roman" w:hAnsi="Times New Roman"/>
          <w:sz w:val="28"/>
          <w:szCs w:val="28"/>
        </w:rPr>
        <w:t xml:space="preserve">, представляют Сведения при рассмотрении вопроса о включении в названный резерв согласно Указу Президента Российской Федерации от 22 января 2024 г. № 61 "О федеральном кадровом резерве на государственной гражданской службе Российской Федерации" (далее – Указ Президента Российской Федерации </w:t>
        <w:br/>
        <w:t>№ 61).</w:t>
      </w:r>
    </w:p>
    <w:p>
      <w:pPr>
        <w:pStyle w:val="ListParagraph"/>
        <w:tabs>
          <w:tab w:val="clear" w:pos="709"/>
          <w:tab w:val="left" w:pos="1134" w:leader="none"/>
        </w:tabs>
        <w:ind w:left="0" w:firstLine="567"/>
        <w:rPr>
          <w:rFonts w:ascii="Times New Roman" w:hAnsi="Times New Roman"/>
          <w:color w:val="000000"/>
          <w:sz w:val="28"/>
          <w:szCs w:val="28"/>
        </w:rPr>
      </w:pPr>
      <w:r>
        <w:rPr>
          <w:rFonts w:ascii="Times New Roman" w:hAnsi="Times New Roman"/>
          <w:color w:val="000000"/>
          <w:sz w:val="28"/>
          <w:szCs w:val="28"/>
        </w:rPr>
        <w:t>При заполнении с использованием СПО "Справки БК" титульного листа справки в строке "В связи с чем подается справка" рекомендуется выбрать "иное" и указать, что лицо претендует на включение в федеральный кадровый резерв.</w:t>
      </w:r>
    </w:p>
    <w:p>
      <w:pPr>
        <w:pStyle w:val="Normal"/>
        <w:tabs>
          <w:tab w:val="clear" w:pos="709"/>
          <w:tab w:val="left" w:pos="1843" w:leader="none"/>
        </w:tabs>
        <w:spacing w:lineRule="exact" w:line="360"/>
        <w:ind w:firstLine="567"/>
        <w:rPr>
          <w:rFonts w:ascii="Times New Roman" w:hAnsi="Times New Roman"/>
          <w:sz w:val="28"/>
          <w:szCs w:val="28"/>
        </w:rPr>
      </w:pPr>
      <w:r>
        <w:rPr>
          <w:rFonts w:ascii="Times New Roman" w:hAnsi="Times New Roman"/>
          <w:color w:val="000000"/>
          <w:sz w:val="28"/>
          <w:szCs w:val="28"/>
        </w:rPr>
        <w:t xml:space="preserve">При выборе отчетного периода необходимо исходить из того, что </w:t>
      </w:r>
      <w:r>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Pr>
          <w:rFonts w:ascii="Times New Roman" w:hAnsi="Times New Roman"/>
          <w:color w:val="000000"/>
          <w:sz w:val="28"/>
          <w:szCs w:val="28"/>
        </w:rPr>
        <w:t xml:space="preserve">пункт 4 Положения </w:t>
      </w:r>
      <w:r>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pPr>
        <w:pStyle w:val="Normal"/>
        <w:tabs>
          <w:tab w:val="clear" w:pos="709"/>
          <w:tab w:val="left" w:pos="1843" w:leader="none"/>
        </w:tabs>
        <w:spacing w:lineRule="exact" w:line="360"/>
        <w:rPr>
          <w:rFonts w:ascii="Times New Roman" w:hAnsi="Times New Roman"/>
          <w:sz w:val="28"/>
          <w:szCs w:val="28"/>
        </w:rPr>
      </w:pPr>
      <w:r>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справку в соответствии с указанным выше положениями не требуется.</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r>
    </w:p>
    <w:p>
      <w:pPr>
        <w:pStyle w:val="Normal"/>
        <w:tabs>
          <w:tab w:val="clear" w:pos="709"/>
          <w:tab w:val="left" w:pos="1134" w:leader="none"/>
        </w:tabs>
        <w:ind w:firstLine="567"/>
        <w:rPr>
          <w:rFonts w:ascii="Times New Roman" w:hAnsi="Times New Roman"/>
          <w:sz w:val="28"/>
          <w:szCs w:val="28"/>
        </w:rPr>
      </w:pPr>
      <w:r>
        <w:rPr>
          <w:rFonts w:ascii="Times New Roman" w:hAnsi="Times New Roman"/>
          <w:b/>
          <w:sz w:val="28"/>
          <w:szCs w:val="28"/>
        </w:rPr>
        <w:t xml:space="preserve">Обязательность представления Сведений </w:t>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Лица, претендующие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на основании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 2024 года.</w:t>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9" w:tgtFrame="consultantplus://offline/ref=33E7B6DD529722622844D6F9EBC8DBA03B3FAEDA9118A1613233FFF35FCD6ECFCAED66496D73EC2Di9vDO">
        <w:r>
          <w:rPr>
            <w:rFonts w:ascii="Times New Roman" w:hAnsi="Times New Roman"/>
            <w:sz w:val="28"/>
            <w:szCs w:val="28"/>
          </w:rPr>
          <w:t>перечнем</w:t>
        </w:r>
      </w:hyperlink>
      <w:r>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pPr>
        <w:pStyle w:val="ListParagraph"/>
        <w:numPr>
          <w:ilvl w:val="1"/>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pPr>
        <w:pStyle w:val="ListParagraph"/>
        <w:numPr>
          <w:ilvl w:val="1"/>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w:t>
      </w:r>
      <w:r>
        <w:rPr/>
        <w:t xml:space="preserve"> </w:t>
      </w:r>
      <w:r>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p>
    <w:p>
      <w:pPr>
        <w:pStyle w:val="Normal"/>
        <w:tabs>
          <w:tab w:val="clear" w:pos="709"/>
          <w:tab w:val="left" w:pos="1134" w:leader="none"/>
        </w:tabs>
        <w:ind w:firstLine="567"/>
        <w:rPr>
          <w:rFonts w:ascii="Times New Roman" w:hAnsi="Times New Roman"/>
          <w:sz w:val="28"/>
          <w:szCs w:val="28"/>
          <w:highlight w:val="yellow"/>
        </w:rPr>
      </w:pPr>
      <w:r>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w:t>
      </w:r>
    </w:p>
    <w:p>
      <w:pPr>
        <w:pStyle w:val="ListParagraph"/>
        <w:tabs>
          <w:tab w:val="clear" w:pos="709"/>
          <w:tab w:val="left" w:pos="567" w:leader="none"/>
        </w:tabs>
        <w:spacing w:before="0" w:after="0"/>
        <w:ind w:left="0" w:firstLine="568"/>
        <w:contextualSpacing w:val="false"/>
        <w:rPr>
          <w:rFonts w:ascii="Times New Roman" w:hAnsi="Times New Roman"/>
          <w:sz w:val="28"/>
          <w:szCs w:val="28"/>
        </w:rPr>
      </w:pPr>
      <w:r>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0">
        <w:r>
          <w:rPr>
            <w:rStyle w:val="-"/>
            <w:rFonts w:ascii="Times New Roman" w:hAnsi="Times New Roman"/>
            <w:sz w:val="28"/>
            <w:szCs w:val="28"/>
          </w:rPr>
          <w:t>https://mintrud.gov.ru/ministry/programms/anticorruption/9/23</w:t>
        </w:r>
      </w:hyperlink>
      <w:r>
        <w:rPr>
          <w:rFonts w:ascii="Times New Roman" w:hAnsi="Times New Roman"/>
          <w:sz w:val="28"/>
          <w:szCs w:val="28"/>
        </w:rPr>
        <w:t>).</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освобождает от обязанности представить Сведения.</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pPr>
        <w:pStyle w:val="ListParagraph"/>
        <w:tabs>
          <w:tab w:val="clear" w:pos="709"/>
          <w:tab w:val="left" w:pos="1134" w:leader="none"/>
        </w:tabs>
        <w:ind w:left="0" w:firstLine="709"/>
        <w:rPr>
          <w:rFonts w:ascii="Times New Roman" w:hAnsi="Times New Roman"/>
          <w:sz w:val="28"/>
          <w:szCs w:val="28"/>
        </w:rPr>
      </w:pPr>
      <w:r>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1">
        <w:r>
          <w:rPr>
            <w:rStyle w:val="-"/>
            <w:rFonts w:ascii="Times New Roman" w:hAnsi="Times New Roman"/>
            <w:sz w:val="28"/>
            <w:szCs w:val="28"/>
          </w:rPr>
          <w:t>https://mintrud.gov.ru/ministry/programms/anticorruption/9/23</w:t>
        </w:r>
      </w:hyperlink>
      <w:r>
        <w:rPr>
          <w:rFonts w:ascii="Times New Roman" w:hAnsi="Times New Roman"/>
          <w:sz w:val="28"/>
          <w:szCs w:val="28"/>
        </w:rPr>
        <w:t>). Лица, 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13 настоящих Методических рекомендаций.</w:t>
      </w:r>
    </w:p>
    <w:p>
      <w:pPr>
        <w:pStyle w:val="Normal"/>
        <w:tabs>
          <w:tab w:val="clear" w:pos="709"/>
          <w:tab w:val="left" w:pos="567" w:leader="none"/>
        </w:tabs>
        <w:ind w:firstLine="567"/>
        <w:rPr>
          <w:rFonts w:ascii="Times New Roman" w:hAnsi="Times New Roman"/>
          <w:b/>
          <w:sz w:val="28"/>
          <w:szCs w:val="28"/>
        </w:rPr>
      </w:pPr>
      <w:r>
        <w:rPr>
          <w:rFonts w:ascii="Times New Roman" w:hAnsi="Times New Roman"/>
          <w:b/>
          <w:sz w:val="28"/>
          <w:szCs w:val="28"/>
        </w:rPr>
        <w:t>Сроки представления Сведений</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pPr>
        <w:pStyle w:val="ListParagraph"/>
        <w:tabs>
          <w:tab w:val="clear" w:pos="709"/>
          <w:tab w:val="left" w:pos="0" w:leader="none"/>
          <w:tab w:val="left" w:pos="1134" w:leader="none"/>
        </w:tabs>
        <w:ind w:left="0" w:firstLine="567"/>
        <w:rPr>
          <w:rFonts w:ascii="Times New Roman" w:hAnsi="Times New Roman"/>
          <w:sz w:val="28"/>
          <w:szCs w:val="28"/>
        </w:rPr>
      </w:pPr>
      <w:r>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Служащие (работники) представляют Сведения ежегодно в следующие сроки:</w:t>
      </w:r>
    </w:p>
    <w:p>
      <w:pPr>
        <w:pStyle w:val="ListParagraph"/>
        <w:numPr>
          <w:ilvl w:val="0"/>
          <w:numId w:val="4"/>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pPr>
        <w:pStyle w:val="ListParagraph"/>
        <w:numPr>
          <w:ilvl w:val="0"/>
          <w:numId w:val="4"/>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не позднее 30 апреля года, следующего за отчетным (государственные служащие, муниципальные служащие, служащие Центрального банка Российской Федерации, работники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пункте 11 настоящих Методический рекомендаций.</w:t>
      </w:r>
    </w:p>
    <w:p>
      <w:pPr>
        <w:pStyle w:val="ListParagraph"/>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Нерабочий день не является основанием для переноса срока представления Сведений.</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pPr>
        <w:pStyle w:val="Normal"/>
        <w:tabs>
          <w:tab w:val="clear" w:pos="709"/>
          <w:tab w:val="left" w:pos="567" w:leader="none"/>
        </w:tabs>
        <w:ind w:firstLine="567"/>
        <w:rPr>
          <w:rFonts w:ascii="Times New Roman" w:hAnsi="Times New Roman"/>
          <w:b/>
          <w:sz w:val="28"/>
          <w:szCs w:val="28"/>
        </w:rPr>
      </w:pPr>
      <w:r>
        <w:rPr>
          <w:rFonts w:ascii="Times New Roman" w:hAnsi="Times New Roman"/>
          <w:b/>
          <w:sz w:val="28"/>
          <w:szCs w:val="28"/>
        </w:rPr>
        <w:t>Лица, в отношении которых представляются Сведения</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Сведения представляются отдельно:</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1) в отношении служащего (работника),</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2) в отношении его супруги (супруга),</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3) в отношении каждого несовершеннолетнего ребенка служащего (работника).</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b/>
          <w:sz w:val="28"/>
          <w:szCs w:val="28"/>
        </w:rPr>
        <w:t>Отчетный период и отчетная дата представления Сведений</w:t>
      </w:r>
      <w:r>
        <w:rPr>
          <w:rFonts w:ascii="Times New Roman" w:hAnsi="Times New Roman"/>
          <w:sz w:val="28"/>
          <w:szCs w:val="28"/>
        </w:rPr>
        <w:t>, установленные для граждан и служащих (работников), различны:</w:t>
      </w:r>
    </w:p>
    <w:p>
      <w:pPr>
        <w:pStyle w:val="ListParagraph"/>
        <w:numPr>
          <w:ilvl w:val="0"/>
          <w:numId w:val="5"/>
        </w:numPr>
        <w:tabs>
          <w:tab w:val="clear" w:pos="709"/>
          <w:tab w:val="left" w:pos="567" w:leader="none"/>
          <w:tab w:val="left" w:pos="1276" w:leader="none"/>
        </w:tabs>
        <w:ind w:left="0" w:firstLine="567"/>
        <w:rPr>
          <w:rFonts w:ascii="Times New Roman" w:hAnsi="Times New Roman"/>
          <w:sz w:val="28"/>
          <w:szCs w:val="28"/>
        </w:rPr>
      </w:pPr>
      <w:r>
        <w:rPr>
          <w:rFonts w:ascii="Times New Roman" w:hAnsi="Times New Roman"/>
          <w:sz w:val="28"/>
          <w:szCs w:val="28"/>
        </w:rPr>
        <w:t>гражданин представляет:</w:t>
      </w:r>
    </w:p>
    <w:p>
      <w:pPr>
        <w:pStyle w:val="ListParagraph"/>
        <w:tabs>
          <w:tab w:val="clear" w:pos="709"/>
          <w:tab w:val="left" w:pos="567" w:leader="none"/>
          <w:tab w:val="left" w:pos="1276" w:leader="none"/>
        </w:tabs>
        <w:ind w:left="0" w:firstLine="567"/>
        <w:rPr>
          <w:rFonts w:ascii="Times New Roman" w:hAnsi="Times New Roman"/>
          <w:sz w:val="28"/>
          <w:szCs w:val="28"/>
        </w:rPr>
      </w:pPr>
      <w:r>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pPr>
        <w:pStyle w:val="ListParagraph"/>
        <w:tabs>
          <w:tab w:val="clear" w:pos="709"/>
          <w:tab w:val="left" w:pos="567" w:leader="none"/>
          <w:tab w:val="left" w:pos="1276" w:leader="none"/>
        </w:tabs>
        <w:ind w:left="0" w:firstLine="567"/>
        <w:rPr>
          <w:rFonts w:ascii="Times New Roman" w:hAnsi="Times New Roman"/>
          <w:sz w:val="28"/>
          <w:szCs w:val="28"/>
        </w:rPr>
      </w:pPr>
      <w:r>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pPr>
        <w:pStyle w:val="ListParagraph"/>
        <w:numPr>
          <w:ilvl w:val="0"/>
          <w:numId w:val="5"/>
        </w:numPr>
        <w:tabs>
          <w:tab w:val="clear" w:pos="709"/>
          <w:tab w:val="left" w:pos="567" w:leader="none"/>
          <w:tab w:val="left" w:pos="1276" w:leader="none"/>
        </w:tabs>
        <w:ind w:left="0" w:firstLine="567"/>
        <w:rPr>
          <w:rFonts w:ascii="Times New Roman" w:hAnsi="Times New Roman"/>
          <w:sz w:val="28"/>
          <w:szCs w:val="28"/>
        </w:rPr>
      </w:pPr>
      <w:r>
        <w:rPr>
          <w:rFonts w:ascii="Times New Roman" w:hAnsi="Times New Roman"/>
          <w:sz w:val="28"/>
          <w:szCs w:val="28"/>
        </w:rPr>
        <w:t>служащий (работник) представляет ежегодно:</w:t>
      </w:r>
    </w:p>
    <w:p>
      <w:pPr>
        <w:pStyle w:val="Normal"/>
        <w:tabs>
          <w:tab w:val="clear" w:pos="709"/>
          <w:tab w:val="left" w:pos="567" w:leader="none"/>
          <w:tab w:val="left" w:pos="1276" w:leader="none"/>
        </w:tabs>
        <w:ind w:firstLine="567"/>
        <w:rPr>
          <w:rFonts w:ascii="Times New Roman" w:hAnsi="Times New Roman"/>
          <w:sz w:val="28"/>
          <w:szCs w:val="28"/>
        </w:rPr>
      </w:pPr>
      <w:r>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pPr>
        <w:pStyle w:val="Normal"/>
        <w:tabs>
          <w:tab w:val="clear" w:pos="709"/>
          <w:tab w:val="left" w:pos="567" w:leader="none"/>
          <w:tab w:val="left" w:pos="1276" w:leader="none"/>
        </w:tabs>
        <w:ind w:firstLine="567"/>
        <w:rPr>
          <w:rFonts w:ascii="Times New Roman" w:hAnsi="Times New Roman"/>
          <w:sz w:val="28"/>
          <w:szCs w:val="28"/>
        </w:rPr>
      </w:pPr>
      <w:r>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pPr>
        <w:pStyle w:val="ListParagraph"/>
        <w:tabs>
          <w:tab w:val="clear" w:pos="709"/>
          <w:tab w:val="left" w:pos="567" w:leader="none"/>
          <w:tab w:val="left" w:pos="1276" w:leader="none"/>
        </w:tabs>
        <w:ind w:left="0" w:firstLine="567"/>
        <w:rPr>
          <w:rFonts w:ascii="Times New Roman" w:hAnsi="Times New Roman"/>
          <w:sz w:val="28"/>
          <w:szCs w:val="28"/>
        </w:rPr>
      </w:pPr>
      <w:r>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pPr>
        <w:pStyle w:val="ListParagraph"/>
        <w:numPr>
          <w:ilvl w:val="0"/>
          <w:numId w:val="1"/>
        </w:numPr>
        <w:tabs>
          <w:tab w:val="clear" w:pos="709"/>
          <w:tab w:val="left" w:pos="567" w:leader="none"/>
          <w:tab w:val="left" w:pos="993" w:leader="none"/>
          <w:tab w:val="left" w:pos="1134" w:leader="none"/>
        </w:tabs>
        <w:ind w:left="0" w:firstLine="567"/>
        <w:rPr>
          <w:rFonts w:ascii="Times New Roman" w:hAnsi="Times New Roman"/>
          <w:sz w:val="28"/>
          <w:szCs w:val="28"/>
        </w:rPr>
      </w:pPr>
      <w:bookmarkStart w:id="1" w:name="_Hlk153818148"/>
      <w:r>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2024 года, то отчетной датой будет являться 1 июля 2024 года: в таком случае рекомендуется распечатывать справку также в августе 2024 года).</w:t>
      </w:r>
      <w:bookmarkEnd w:id="1"/>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19 настоящих Методических рекомендаций.</w:t>
      </w:r>
    </w:p>
    <w:p>
      <w:pPr>
        <w:pStyle w:val="Normal"/>
        <w:tabs>
          <w:tab w:val="clear" w:pos="709"/>
          <w:tab w:val="left" w:pos="567" w:leader="none"/>
          <w:tab w:val="left" w:pos="1276" w:leader="none"/>
        </w:tabs>
        <w:ind w:firstLine="567"/>
        <w:rPr>
          <w:rFonts w:ascii="Times New Roman" w:hAnsi="Times New Roman"/>
          <w:sz w:val="28"/>
          <w:szCs w:val="28"/>
        </w:rPr>
      </w:pPr>
      <w:r>
        <w:rPr>
          <w:rFonts w:ascii="Times New Roman" w:hAnsi="Times New Roman"/>
          <w:b/>
          <w:sz w:val="28"/>
          <w:szCs w:val="28"/>
        </w:rPr>
        <w:t>Замещение конкретной должности на отчетную дату как основание для представления Сведений</w:t>
      </w:r>
    </w:p>
    <w:p>
      <w:pPr>
        <w:pStyle w:val="ListParagraph"/>
        <w:numPr>
          <w:ilvl w:val="0"/>
          <w:numId w:val="1"/>
        </w:numPr>
        <w:tabs>
          <w:tab w:val="clear" w:pos="709"/>
          <w:tab w:val="left" w:pos="284" w:leader="none"/>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pPr>
        <w:pStyle w:val="ListParagraph"/>
        <w:numPr>
          <w:ilvl w:val="1"/>
          <w:numId w:val="1"/>
        </w:numPr>
        <w:tabs>
          <w:tab w:val="clear" w:pos="709"/>
          <w:tab w:val="left" w:pos="284" w:leader="none"/>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pPr>
        <w:pStyle w:val="ListParagraph"/>
        <w:tabs>
          <w:tab w:val="clear" w:pos="709"/>
          <w:tab w:val="left" w:pos="0" w:leader="none"/>
          <w:tab w:val="left" w:pos="1134" w:leader="none"/>
        </w:tabs>
        <w:ind w:left="0" w:firstLine="567"/>
        <w:rPr>
          <w:rFonts w:ascii="Times New Roman" w:hAnsi="Times New Roman"/>
          <w:sz w:val="28"/>
          <w:szCs w:val="28"/>
        </w:rPr>
      </w:pPr>
      <w:r>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pPr>
        <w:pStyle w:val="ListParagraph"/>
        <w:numPr>
          <w:ilvl w:val="1"/>
          <w:numId w:val="1"/>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pPr>
        <w:pStyle w:val="ListParagraph"/>
        <w:ind w:left="0" w:firstLine="567"/>
        <w:rPr>
          <w:rFonts w:ascii="Times New Roman" w:hAnsi="Times New Roman"/>
          <w:sz w:val="28"/>
          <w:szCs w:val="28"/>
        </w:rPr>
      </w:pPr>
      <w:r>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Представление Сведений после увольнения служащего (работника) в период с 1 января по 1 (30) апреля 2024 г. не требуется.</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pPr>
        <w:pStyle w:val="Normal"/>
        <w:tabs>
          <w:tab w:val="clear" w:pos="709"/>
          <w:tab w:val="left" w:pos="567" w:leader="none"/>
        </w:tabs>
        <w:ind w:firstLine="567"/>
        <w:rPr>
          <w:rFonts w:ascii="Times New Roman" w:hAnsi="Times New Roman"/>
          <w:b/>
          <w:sz w:val="28"/>
          <w:szCs w:val="28"/>
        </w:rPr>
      </w:pPr>
      <w:r>
        <w:rPr>
          <w:rFonts w:ascii="Times New Roman" w:hAnsi="Times New Roman"/>
          <w:b/>
          <w:sz w:val="28"/>
          <w:szCs w:val="28"/>
        </w:rPr>
        <w:t>Определение круга лиц (членов семьи), в отношении которых необходимо представить Сведения</w:t>
      </w:r>
    </w:p>
    <w:p>
      <w:pPr>
        <w:pStyle w:val="ListParagraph"/>
        <w:numPr>
          <w:ilvl w:val="0"/>
          <w:numId w:val="1"/>
        </w:numPr>
        <w:tabs>
          <w:tab w:val="clear" w:pos="709"/>
          <w:tab w:val="left" w:pos="567" w:leader="none"/>
          <w:tab w:val="left" w:pos="1276" w:leader="none"/>
        </w:tabs>
        <w:ind w:left="0" w:firstLine="567"/>
        <w:rPr>
          <w:rFonts w:ascii="Times New Roman" w:hAnsi="Times New Roman"/>
          <w:sz w:val="28"/>
          <w:szCs w:val="28"/>
        </w:rPr>
      </w:pPr>
      <w:r>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pPr>
        <w:pStyle w:val="Normal"/>
        <w:tabs>
          <w:tab w:val="clear" w:pos="709"/>
          <w:tab w:val="left" w:pos="567" w:leader="none"/>
        </w:tabs>
        <w:ind w:firstLine="567"/>
        <w:rPr>
          <w:rFonts w:ascii="Times New Roman" w:hAnsi="Times New Roman"/>
          <w:b/>
          <w:sz w:val="28"/>
          <w:szCs w:val="28"/>
        </w:rPr>
      </w:pPr>
      <w:r>
        <w:rPr>
          <w:rFonts w:ascii="Times New Roman" w:hAnsi="Times New Roman"/>
          <w:b/>
          <w:sz w:val="28"/>
          <w:szCs w:val="28"/>
        </w:rPr>
      </w:r>
    </w:p>
    <w:p>
      <w:pPr>
        <w:pStyle w:val="Normal"/>
        <w:tabs>
          <w:tab w:val="clear" w:pos="709"/>
          <w:tab w:val="left" w:pos="567" w:leader="none"/>
        </w:tabs>
        <w:ind w:firstLine="567"/>
        <w:rPr>
          <w:rFonts w:ascii="Times New Roman" w:hAnsi="Times New Roman"/>
          <w:b/>
          <w:sz w:val="28"/>
          <w:szCs w:val="28"/>
        </w:rPr>
      </w:pPr>
      <w:r>
        <w:rPr>
          <w:rFonts w:ascii="Times New Roman" w:hAnsi="Times New Roman"/>
          <w:b/>
          <w:sz w:val="28"/>
          <w:szCs w:val="28"/>
        </w:rPr>
      </w:r>
    </w:p>
    <w:p>
      <w:pPr>
        <w:pStyle w:val="Normal"/>
        <w:tabs>
          <w:tab w:val="clear" w:pos="709"/>
          <w:tab w:val="left" w:pos="567" w:leader="none"/>
        </w:tabs>
        <w:ind w:firstLine="567"/>
        <w:rPr>
          <w:rFonts w:ascii="Times New Roman" w:hAnsi="Times New Roman"/>
          <w:b/>
          <w:sz w:val="28"/>
          <w:szCs w:val="28"/>
        </w:rPr>
      </w:pPr>
      <w:r>
        <w:rPr>
          <w:rFonts w:ascii="Times New Roman" w:hAnsi="Times New Roman"/>
          <w:b/>
          <w:sz w:val="28"/>
          <w:szCs w:val="28"/>
        </w:rPr>
      </w:r>
    </w:p>
    <w:p>
      <w:pPr>
        <w:pStyle w:val="Normal"/>
        <w:tabs>
          <w:tab w:val="clear" w:pos="709"/>
          <w:tab w:val="left" w:pos="567" w:leader="none"/>
        </w:tabs>
        <w:ind w:firstLine="567"/>
        <w:rPr>
          <w:rFonts w:ascii="Times New Roman" w:hAnsi="Times New Roman"/>
          <w:b/>
          <w:sz w:val="28"/>
          <w:szCs w:val="28"/>
        </w:rPr>
      </w:pPr>
      <w:r>
        <w:rPr>
          <w:rFonts w:ascii="Times New Roman" w:hAnsi="Times New Roman"/>
          <w:b/>
          <w:sz w:val="28"/>
          <w:szCs w:val="28"/>
        </w:rPr>
        <w:t>Супруги</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1):</w:t>
      </w:r>
    </w:p>
    <w:p>
      <w:pPr>
        <w:pStyle w:val="Normal"/>
        <w:ind w:firstLine="851"/>
        <w:rPr>
          <w:rFonts w:ascii="Times New Roman" w:hAnsi="Times New Roman"/>
          <w:sz w:val="28"/>
          <w:szCs w:val="28"/>
        </w:rPr>
      </w:pPr>
      <w:r>
        <w:rPr>
          <w:rFonts w:ascii="Times New Roman" w:hAnsi="Times New Roman"/>
          <w:sz w:val="28"/>
          <w:szCs w:val="28"/>
        </w:rPr>
      </w:r>
    </w:p>
    <w:tbl>
      <w:tblPr>
        <w:tblW w:w="10348"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3118"/>
        <w:gridCol w:w="7229"/>
      </w:tblGrid>
      <w:tr>
        <w:trPr/>
        <w:tc>
          <w:tcPr>
            <w:tcW w:w="103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sz w:val="28"/>
                <w:szCs w:val="28"/>
              </w:rPr>
            </w:pPr>
            <w:r>
              <w:rPr>
                <w:rFonts w:ascii="Times New Roman" w:hAnsi="Times New Roman"/>
                <w:sz w:val="28"/>
                <w:szCs w:val="28"/>
              </w:rPr>
              <w:t xml:space="preserve">Пример: служащий (работник) представляет Сведения в 2024 году </w:t>
              <w:br/>
              <w:t>(за отчетный 2023 год)</w:t>
            </w:r>
          </w:p>
        </w:tc>
      </w:tr>
      <w:tr>
        <w:trPr/>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left"/>
              <w:rPr>
                <w:rFonts w:ascii="Times New Roman" w:hAnsi="Times New Roman"/>
                <w:sz w:val="28"/>
                <w:szCs w:val="28"/>
              </w:rPr>
            </w:pPr>
            <w:r>
              <w:rPr>
                <w:rFonts w:ascii="Times New Roman" w:hAnsi="Times New Roman"/>
                <w:sz w:val="28"/>
                <w:szCs w:val="28"/>
              </w:rPr>
              <w:t>Брак заключен в органах записи актов гражданского состояния (далее – ЗАГС) в ноябре 2023 года</w:t>
            </w:r>
          </w:p>
        </w:tc>
        <w:tc>
          <w:tcPr>
            <w:tcW w:w="72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sz w:val="28"/>
                <w:szCs w:val="28"/>
              </w:rPr>
            </w:pPr>
            <w:r>
              <w:rPr>
                <w:rFonts w:ascii="Times New Roman" w:hAnsi="Times New Roman"/>
                <w:sz w:val="28"/>
                <w:szCs w:val="28"/>
              </w:rPr>
              <w:t>Сведения в отношении супруги (супруга) представляются, поскольку по состоянию на отчетную дату (31 декабря 2023 года) служащий (работник) состоял в браке</w:t>
            </w:r>
          </w:p>
        </w:tc>
      </w:tr>
      <w:tr>
        <w:trPr/>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sz w:val="28"/>
                <w:szCs w:val="28"/>
              </w:rPr>
            </w:pPr>
            <w:r>
              <w:rPr>
                <w:rFonts w:ascii="Times New Roman" w:hAnsi="Times New Roman"/>
                <w:sz w:val="28"/>
                <w:szCs w:val="28"/>
              </w:rPr>
              <w:t>Брак заключен в ЗАГСе в марте 2024 года</w:t>
            </w:r>
          </w:p>
        </w:tc>
        <w:tc>
          <w:tcPr>
            <w:tcW w:w="72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sz w:val="28"/>
                <w:szCs w:val="28"/>
              </w:rPr>
            </w:pPr>
            <w:r>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2023 года) служащий (работник) не состоял в браке </w:t>
            </w:r>
          </w:p>
        </w:tc>
      </w:tr>
      <w:tr>
        <w:trPr/>
        <w:tc>
          <w:tcPr>
            <w:tcW w:w="103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34" w:hanging="0"/>
              <w:rPr>
                <w:rFonts w:ascii="Times New Roman" w:hAnsi="Times New Roman"/>
                <w:sz w:val="28"/>
                <w:szCs w:val="28"/>
              </w:rPr>
            </w:pPr>
            <w:r>
              <w:rPr>
                <w:rFonts w:ascii="Times New Roman" w:hAnsi="Times New Roman"/>
                <w:sz w:val="28"/>
                <w:szCs w:val="28"/>
              </w:rPr>
              <w:t>Пример: гражданин в сентябре 2024 года представляет Сведения в связи с подачей документов для назначения на должность. Отчетной датой является 1 августа 2024 года</w:t>
            </w:r>
          </w:p>
        </w:tc>
      </w:tr>
      <w:tr>
        <w:trPr>
          <w:trHeight w:val="660" w:hRule="atLeast"/>
        </w:trPr>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34" w:hanging="0"/>
              <w:rPr>
                <w:rFonts w:ascii="Times New Roman" w:hAnsi="Times New Roman"/>
                <w:sz w:val="28"/>
                <w:szCs w:val="28"/>
              </w:rPr>
            </w:pPr>
            <w:r>
              <w:rPr>
                <w:rFonts w:ascii="Times New Roman" w:hAnsi="Times New Roman"/>
                <w:sz w:val="28"/>
                <w:szCs w:val="28"/>
              </w:rPr>
              <w:t>Брак заключен 1 февраля 2024 года</w:t>
            </w:r>
          </w:p>
        </w:tc>
        <w:tc>
          <w:tcPr>
            <w:tcW w:w="72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34" w:hanging="0"/>
              <w:rPr>
                <w:rFonts w:ascii="Times New Roman" w:hAnsi="Times New Roman"/>
                <w:sz w:val="28"/>
                <w:szCs w:val="28"/>
              </w:rPr>
            </w:pPr>
            <w:r>
              <w:rPr>
                <w:rFonts w:ascii="Times New Roman" w:hAnsi="Times New Roman"/>
                <w:sz w:val="28"/>
                <w:szCs w:val="28"/>
              </w:rPr>
              <w:t>Сведения в отношении супруги представляются, поскольку по состоянию на отчетную дату (1 августа 2024 года) гражданин состоял в браке</w:t>
            </w:r>
          </w:p>
        </w:tc>
      </w:tr>
      <w:tr>
        <w:trPr>
          <w:trHeight w:val="131" w:hRule="atLeast"/>
        </w:trPr>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34" w:hanging="0"/>
              <w:rPr>
                <w:rFonts w:ascii="Times New Roman" w:hAnsi="Times New Roman"/>
                <w:sz w:val="28"/>
                <w:szCs w:val="28"/>
              </w:rPr>
            </w:pPr>
            <w:r>
              <w:rPr>
                <w:rFonts w:ascii="Times New Roman" w:hAnsi="Times New Roman"/>
                <w:sz w:val="28"/>
                <w:szCs w:val="28"/>
              </w:rPr>
              <w:t>Брак заключен 2 августа 2024 года</w:t>
            </w:r>
          </w:p>
        </w:tc>
        <w:tc>
          <w:tcPr>
            <w:tcW w:w="72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34" w:hanging="0"/>
              <w:rPr>
                <w:rFonts w:ascii="Times New Roman" w:hAnsi="Times New Roman"/>
                <w:sz w:val="28"/>
                <w:szCs w:val="28"/>
              </w:rPr>
            </w:pPr>
            <w:r>
              <w:rPr>
                <w:rFonts w:ascii="Times New Roman" w:hAnsi="Times New Roman"/>
                <w:sz w:val="28"/>
                <w:szCs w:val="28"/>
              </w:rPr>
              <w:t>Сведения в отношении супруги не представляются, поскольку по состоянию на отчетную дату (1 августа 2024 года) гражданин еще не вступил в брак</w:t>
            </w:r>
          </w:p>
        </w:tc>
      </w:tr>
    </w:tbl>
    <w:p>
      <w:pPr>
        <w:pStyle w:val="ListParagraph"/>
        <w:tabs>
          <w:tab w:val="clear" w:pos="709"/>
          <w:tab w:val="left" w:pos="1134" w:leader="none"/>
        </w:tabs>
        <w:ind w:left="709" w:firstLine="851"/>
        <w:rPr>
          <w:rFonts w:ascii="Times New Roman" w:hAnsi="Times New Roman"/>
          <w:sz w:val="28"/>
          <w:szCs w:val="28"/>
        </w:rPr>
      </w:pPr>
      <w:r>
        <w:rPr>
          <w:rFonts w:ascii="Times New Roman" w:hAnsi="Times New Roman"/>
          <w:sz w:val="28"/>
          <w:szCs w:val="28"/>
        </w:rPr>
      </w:r>
    </w:p>
    <w:p>
      <w:pPr>
        <w:pStyle w:val="ListParagraph"/>
        <w:numPr>
          <w:ilvl w:val="0"/>
          <w:numId w:val="1"/>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2)</w:t>
      </w:r>
    </w:p>
    <w:p>
      <w:pPr>
        <w:pStyle w:val="Normal"/>
        <w:ind w:firstLine="851"/>
        <w:rPr>
          <w:rFonts w:ascii="Times New Roman" w:hAnsi="Times New Roman"/>
          <w:sz w:val="28"/>
          <w:szCs w:val="28"/>
        </w:rPr>
      </w:pPr>
      <w:r>
        <w:rPr>
          <w:rFonts w:ascii="Times New Roman" w:hAnsi="Times New Roman"/>
          <w:sz w:val="28"/>
          <w:szCs w:val="28"/>
        </w:rPr>
      </w:r>
    </w:p>
    <w:tbl>
      <w:tblPr>
        <w:tblW w:w="10348"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3146"/>
        <w:gridCol w:w="7201"/>
      </w:tblGrid>
      <w:tr>
        <w:trPr>
          <w:trHeight w:val="435" w:hRule="atLeast"/>
        </w:trPr>
        <w:tc>
          <w:tcPr>
            <w:tcW w:w="1034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Пример: служащий (работник) представляет Сведения в 2024 году (за отчетный 2023 год)</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Брак был расторгнут в ЗАГСе в ноябре 2023 года</w:t>
            </w:r>
          </w:p>
        </w:tc>
        <w:tc>
          <w:tcPr>
            <w:tcW w:w="7201"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Сведения в отношении бывшей супруги не представляются, поскольку по состоянию на отчетную дату (31 декабря 2023 года) служащий (работник) не состоял в браке</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Окончательное решение о расторжении брака было принято судом 12 декабря 2023 года и вступило в законную силу 12 января 2024 года</w:t>
            </w:r>
          </w:p>
        </w:tc>
        <w:tc>
          <w:tcPr>
            <w:tcW w:w="7201"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2024 года. Таким образом, по состоянию на отчетную дату (31 декабря 2023 года) служащий (работник) считался состоявшим в браке</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 xml:space="preserve">Брак был расторгнут в ЗАГСе в марте 2024 года </w:t>
            </w:r>
          </w:p>
        </w:tc>
        <w:tc>
          <w:tcPr>
            <w:tcW w:w="7201"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Сведения в отношении бывшей супруги представляются, поскольку по состоянию на отчетную дату (31 декабря 2023 года) служащий (работник) состоял в браке</w:t>
            </w:r>
          </w:p>
        </w:tc>
      </w:tr>
      <w:tr>
        <w:trPr>
          <w:trHeight w:val="435" w:hRule="atLeast"/>
        </w:trPr>
        <w:tc>
          <w:tcPr>
            <w:tcW w:w="1034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Пример: гражданин в сентябре 2024 года представляет Сведения в связи с подачей документов для назначения на должность. Отчетной датой является 1 августа 2024 года</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Брак был расторгнут в ЗАГСе 1 июля 2024 года</w:t>
            </w:r>
          </w:p>
        </w:tc>
        <w:tc>
          <w:tcPr>
            <w:tcW w:w="7201"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Сведения в отношении бывшей супруги не представляются, поскольку по состоянию на отчетную дату (1 августа 2024 года) гражданин не состоял в браке</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 xml:space="preserve">Брак был расторгнут в ЗАГСе 2 августа 2024 года </w:t>
            </w:r>
          </w:p>
        </w:tc>
        <w:tc>
          <w:tcPr>
            <w:tcW w:w="7201"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Сведения в отношении бывшей супруги представляются, поскольку по состоянию на отчетную дату (1 августа 2024 года) гражданин состоял в браке</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Окончательное решение о расторжении брака было принято судом 4 июля 2024 года и вступило в законную силу 4 августа 2024 г.</w:t>
            </w:r>
          </w:p>
        </w:tc>
        <w:tc>
          <w:tcPr>
            <w:tcW w:w="7201"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2024 года. Таким образом, по состоянию на отчетную дату (1 августа 2024 года) гражданин считался состоявшим в браке</w:t>
            </w:r>
          </w:p>
        </w:tc>
      </w:tr>
    </w:tbl>
    <w:p>
      <w:pPr>
        <w:pStyle w:val="Normal"/>
        <w:ind w:firstLine="567"/>
        <w:rPr>
          <w:rFonts w:ascii="Times New Roman" w:hAnsi="Times New Roman"/>
          <w:b/>
          <w:sz w:val="28"/>
          <w:szCs w:val="28"/>
        </w:rPr>
      </w:pPr>
      <w:r>
        <w:rPr>
          <w:rFonts w:ascii="Times New Roman" w:hAnsi="Times New Roman"/>
          <w:b/>
          <w:sz w:val="28"/>
          <w:szCs w:val="28"/>
        </w:rPr>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 xml:space="preserve">Лица, обязанные представлять Сведения в отношении своих супруг (супругов), не представляют такие Сведения, если: </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 xml:space="preserve">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 xml:space="preserve">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 xml:space="preserve">3) их супруги призваны на военную службу по мобилизации в Вооруженные Силы Российской Федерации; </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 xml:space="preserve">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2">
        <w:r>
          <w:rPr>
            <w:rStyle w:val="-"/>
            <w:rFonts w:ascii="Times New Roman" w:hAnsi="Times New Roman"/>
            <w:sz w:val="28"/>
            <w:szCs w:val="28"/>
          </w:rPr>
          <w:t>https://mintrud.gov.ru/ministry/programms/anticorruption/9/23</w:t>
        </w:r>
      </w:hyperlink>
      <w:r>
        <w:rPr>
          <w:rFonts w:ascii="Times New Roman" w:hAnsi="Times New Roman"/>
          <w:sz w:val="28"/>
          <w:szCs w:val="28"/>
        </w:rPr>
        <w:t>).</w:t>
      </w:r>
    </w:p>
    <w:p>
      <w:pPr>
        <w:pStyle w:val="ListParagraph"/>
        <w:ind w:left="0" w:firstLine="567"/>
        <w:rPr>
          <w:rFonts w:ascii="Times New Roman" w:hAnsi="Times New Roman"/>
          <w:b/>
          <w:sz w:val="28"/>
          <w:szCs w:val="28"/>
        </w:rPr>
      </w:pPr>
      <w:r>
        <w:rPr>
          <w:rFonts w:ascii="Times New Roman" w:hAnsi="Times New Roman"/>
          <w:b/>
          <w:sz w:val="28"/>
          <w:szCs w:val="28"/>
        </w:rPr>
        <w:t>Несовершеннолетние дети</w:t>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pPr>
        <w:pStyle w:val="Normal"/>
        <w:ind w:firstLine="567"/>
        <w:rPr>
          <w:rFonts w:ascii="Times New Roman" w:hAnsi="Times New Roman"/>
          <w:sz w:val="28"/>
          <w:szCs w:val="28"/>
        </w:rPr>
      </w:pPr>
      <w:r>
        <w:rPr>
          <w:rFonts w:ascii="Times New Roman" w:hAnsi="Times New Roman"/>
          <w:sz w:val="28"/>
          <w:szCs w:val="28"/>
        </w:rPr>
      </w:r>
    </w:p>
    <w:p>
      <w:pPr>
        <w:pStyle w:val="Normal"/>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3):</w:t>
      </w:r>
    </w:p>
    <w:p>
      <w:pPr>
        <w:pStyle w:val="Normal"/>
        <w:ind w:firstLine="851"/>
        <w:rPr>
          <w:rFonts w:ascii="Times New Roman" w:hAnsi="Times New Roman"/>
          <w:sz w:val="28"/>
          <w:szCs w:val="28"/>
        </w:rPr>
      </w:pPr>
      <w:r>
        <w:rPr>
          <w:rFonts w:ascii="Times New Roman" w:hAnsi="Times New Roman"/>
          <w:sz w:val="28"/>
          <w:szCs w:val="28"/>
        </w:rPr>
      </w:r>
    </w:p>
    <w:tbl>
      <w:tblPr>
        <w:tblW w:w="10348"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3118"/>
        <w:gridCol w:w="7229"/>
      </w:tblGrid>
      <w:tr>
        <w:trPr>
          <w:trHeight w:val="435" w:hRule="atLeast"/>
        </w:trPr>
        <w:tc>
          <w:tcPr>
            <w:tcW w:w="1034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Пример: служащий (работник) представляет Сведения в 2024 году (за отчетный 2023 год)</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Дочери служащего (работника) 21 мая 2023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Сведения в отношении дочери не представляются, поскольку по состоянию на отчетную дату (31 декабря 2023 года) дочери служащего (работника) уже исполнилось 18 лет, она являлась совершеннолетней</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Дочери служащего (работника) 30 декабря 2023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Сведения в отношении дочери не представляются, поскольку по состоянию на отчетную дату (31 декабря 2023 года) дочери служащего (работника) уже исполнилось 18 лет, она являлась совершеннолетней</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Дочери служащего (работника) 31 декабря 2023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2024 года. Таким образом, по состоянию на отчетную дату (31 декабря 2023 года) она еще являлась несовершеннолетней</w:t>
            </w:r>
          </w:p>
        </w:tc>
      </w:tr>
      <w:tr>
        <w:trPr>
          <w:trHeight w:val="435" w:hRule="atLeast"/>
        </w:trPr>
        <w:tc>
          <w:tcPr>
            <w:tcW w:w="1034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Пример: гражданин представляет в сентябре 2024 года Сведения в связи с назначением на должность. Отчетной датой является 1 августа 2024 года</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Сыну гражданина 5 мая 2024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Сведения в отношении сына не представляются, поскольку он являлся совершеннолетним и по состоянию на отчетную дату (1 августа 2024 года) сыну гражданина уже исполнилось 18 лет</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Сыну гражданина 1 августа 2024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2024 года. Таким образом, по состоянию на отчетную дату (1 августа 2024 года) он еще являлся несовершеннолетним</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Сыну гражданина 17 августа 2024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 xml:space="preserve">Сведения в отношении сына представляются, поскольку по состоянию на отчетную дату (1 августа 2024 года) сын гражданина являлся несовершеннолетним </w:t>
            </w:r>
          </w:p>
        </w:tc>
      </w:tr>
    </w:tbl>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pPr>
        <w:pStyle w:val="ListParagraph"/>
        <w:ind w:left="0" w:firstLine="567"/>
        <w:rPr>
          <w:rFonts w:ascii="Times New Roman" w:hAnsi="Times New Roman"/>
          <w:b/>
          <w:sz w:val="28"/>
          <w:szCs w:val="28"/>
        </w:rPr>
      </w:pPr>
      <w:r>
        <w:rPr>
          <w:rFonts w:ascii="Times New Roman" w:hAnsi="Times New Roman"/>
          <w:b/>
          <w:sz w:val="28"/>
          <w:szCs w:val="28"/>
        </w:rPr>
        <w:t>Уточнение представленных Сведений</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Представление уточненных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2024 году справке приложить соответствующие письменные пояснения (например, ситуации, связанные с выявлением счета в кредитной организации, отрытого в 2022 году, но не отраженного в справке, представленной в рамках декларационной кампании 2023 года).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pPr>
        <w:pStyle w:val="Normal"/>
        <w:ind w:firstLine="567"/>
        <w:rPr>
          <w:rFonts w:ascii="Times New Roman" w:hAnsi="Times New Roman"/>
          <w:b/>
          <w:sz w:val="28"/>
          <w:szCs w:val="28"/>
        </w:rPr>
      </w:pPr>
      <w:r>
        <w:rPr>
          <w:rFonts w:ascii="Times New Roman" w:hAnsi="Times New Roman"/>
          <w:b/>
          <w:sz w:val="28"/>
          <w:szCs w:val="28"/>
        </w:rPr>
        <w:t>Рекомендуемые действия при невозможности по объективным причинам представить Сведения в отношении члена семьи</w:t>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Pr>
          <w:rFonts w:ascii="Times New Roman" w:hAnsi="Times New Roman"/>
          <w:sz w:val="28"/>
          <w:szCs w:val="28"/>
          <w:lang w:val="en-US"/>
        </w:rPr>
        <w:t> </w:t>
      </w:r>
      <w:r>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Pr>
          <w:rFonts w:ascii="Times New Roman" w:hAnsi="Times New Roman"/>
          <w:sz w:val="28"/>
          <w:szCs w:val="28"/>
          <w:lang w:val="en-US"/>
        </w:rPr>
        <w:t> </w:t>
      </w:r>
      <w:r>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Дополнительная информация содержится 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13">
        <w:r>
          <w:rPr>
            <w:rStyle w:val="-"/>
            <w:rFonts w:ascii="Times New Roman" w:hAnsi="Times New Roman"/>
            <w:sz w:val="28"/>
            <w:szCs w:val="28"/>
          </w:rPr>
          <w:t>https://mintrud.gov.ru/ministry/programms/anticorruption/9/24</w:t>
        </w:r>
      </w:hyperlink>
      <w:r>
        <w:rPr>
          <w:rFonts w:ascii="Times New Roman" w:hAnsi="Times New Roman"/>
          <w:sz w:val="28"/>
          <w:szCs w:val="28"/>
        </w:rPr>
        <w:t xml:space="preserve">). </w:t>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Заявление подается в порядке, установленном нормативным правовым актом органа публичной власти или актом организации.</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pPr>
        <w:pStyle w:val="ListParagraph"/>
        <w:ind w:left="0" w:firstLine="567"/>
        <w:rPr>
          <w:rFonts w:ascii="Times New Roman" w:hAnsi="Times New Roman"/>
          <w:sz w:val="28"/>
          <w:szCs w:val="28"/>
        </w:rPr>
      </w:pPr>
      <w:r>
        <w:rPr>
          <w:rFonts w:ascii="Times New Roman" w:hAnsi="Times New Roman"/>
          <w:sz w:val="28"/>
          <w:szCs w:val="28"/>
        </w:rPr>
        <w:t>Заявление подается (таблица № 4):</w:t>
      </w:r>
    </w:p>
    <w:p>
      <w:pPr>
        <w:pStyle w:val="Normal"/>
        <w:ind w:firstLine="851"/>
        <w:rPr>
          <w:rFonts w:ascii="Times New Roman" w:hAnsi="Times New Roman"/>
          <w:sz w:val="28"/>
          <w:szCs w:val="28"/>
        </w:rPr>
      </w:pPr>
      <w:r>
        <w:rPr>
          <w:rFonts w:ascii="Times New Roman" w:hAnsi="Times New Roman"/>
          <w:sz w:val="28"/>
          <w:szCs w:val="28"/>
        </w:rPr>
      </w:r>
    </w:p>
    <w:tbl>
      <w:tblPr>
        <w:tblW w:w="10348"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3223"/>
        <w:gridCol w:w="7124"/>
      </w:tblGrid>
      <w:tr>
        <w:trPr/>
        <w:tc>
          <w:tcPr>
            <w:tcW w:w="32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sz w:val="28"/>
                <w:szCs w:val="28"/>
              </w:rPr>
            </w:pPr>
            <w:r>
              <w:rPr>
                <w:rFonts w:ascii="Times New Roman" w:hAnsi="Times New Roman"/>
                <w:sz w:val="28"/>
                <w:szCs w:val="28"/>
              </w:rPr>
              <w:t>В Управление Президента Российской Федерации по вопросам государственной службы, кадров и  противодействия коррупции</w:t>
            </w:r>
          </w:p>
        </w:tc>
        <w:tc>
          <w:tcPr>
            <w:tcW w:w="71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sz w:val="28"/>
                <w:szCs w:val="28"/>
              </w:rPr>
            </w:pPr>
            <w:r>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trPr/>
        <w:tc>
          <w:tcPr>
            <w:tcW w:w="32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sz w:val="28"/>
                <w:szCs w:val="28"/>
              </w:rPr>
            </w:pPr>
            <w:r>
              <w:rPr>
                <w:rFonts w:ascii="Times New Roman" w:hAnsi="Times New Roman"/>
                <w:sz w:val="28"/>
                <w:szCs w:val="28"/>
              </w:rPr>
              <w:t xml:space="preserve">В Департамент кадров Правительства Российской Федерации </w:t>
            </w:r>
          </w:p>
        </w:tc>
        <w:tc>
          <w:tcPr>
            <w:tcW w:w="71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sz w:val="28"/>
                <w:szCs w:val="28"/>
              </w:rPr>
            </w:pPr>
            <w:r>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trPr/>
        <w:tc>
          <w:tcPr>
            <w:tcW w:w="32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sz w:val="28"/>
                <w:szCs w:val="28"/>
              </w:rPr>
            </w:pPr>
            <w:r>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pPr>
              <w:pStyle w:val="Normal"/>
              <w:widowControl w:val="false"/>
              <w:ind w:hanging="0"/>
              <w:rPr>
                <w:rFonts w:ascii="Times New Roman" w:hAnsi="Times New Roman"/>
                <w:sz w:val="28"/>
                <w:szCs w:val="28"/>
              </w:rPr>
            </w:pPr>
            <w:r>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sz w:val="28"/>
                <w:szCs w:val="28"/>
              </w:rPr>
            </w:pPr>
            <w:r>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trPr/>
        <w:tc>
          <w:tcPr>
            <w:tcW w:w="32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sz w:val="28"/>
                <w:szCs w:val="28"/>
              </w:rPr>
            </w:pPr>
            <w:r>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w:t>
            </w:r>
          </w:p>
        </w:tc>
        <w:tc>
          <w:tcPr>
            <w:tcW w:w="71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sz w:val="28"/>
                <w:szCs w:val="28"/>
              </w:rPr>
            </w:pPr>
            <w:r>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 публично-правовых компаний</w:t>
            </w:r>
          </w:p>
        </w:tc>
      </w:tr>
      <w:tr>
        <w:trPr/>
        <w:tc>
          <w:tcPr>
            <w:tcW w:w="322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ind w:hanging="0"/>
              <w:rPr>
                <w:rFonts w:ascii="Times New Roman" w:hAnsi="Times New Roman"/>
                <w:sz w:val="28"/>
                <w:szCs w:val="28"/>
              </w:rPr>
            </w:pPr>
            <w:r>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ind w:firstLine="33"/>
              <w:rPr>
                <w:rFonts w:ascii="Times New Roman" w:hAnsi="Times New Roman"/>
                <w:sz w:val="28"/>
                <w:szCs w:val="28"/>
              </w:rPr>
            </w:pPr>
            <w:r>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 </w:t>
            </w:r>
          </w:p>
        </w:tc>
      </w:tr>
      <w:tr>
        <w:trPr/>
        <w:tc>
          <w:tcPr>
            <w:tcW w:w="322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ind w:hanging="0"/>
              <w:rPr>
                <w:rFonts w:ascii="Times New Roman" w:hAnsi="Times New Roman"/>
                <w:sz w:val="28"/>
                <w:szCs w:val="28"/>
              </w:rPr>
            </w:pPr>
            <w:r>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ind w:firstLine="33"/>
              <w:rPr>
                <w:rFonts w:ascii="Times New Roman" w:hAnsi="Times New Roman"/>
                <w:sz w:val="28"/>
                <w:szCs w:val="28"/>
              </w:rPr>
            </w:pPr>
            <w:r>
              <w:rPr>
                <w:rFonts w:ascii="Times New Roman" w:hAnsi="Times New Roman"/>
                <w:sz w:val="28"/>
                <w:szCs w:val="28"/>
              </w:rPr>
              <w:t>атаманом Всероссийского казачьего общества, гражданином, претендующим на замещение должности атамана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pPr>
        <w:pStyle w:val="Normal"/>
        <w:rPr>
          <w:rFonts w:ascii="Times New Roman" w:hAnsi="Times New Roman"/>
          <w:sz w:val="28"/>
          <w:szCs w:val="28"/>
        </w:rPr>
      </w:pPr>
      <w:r>
        <w:rPr>
          <w:rFonts w:ascii="Times New Roman" w:hAnsi="Times New Roman"/>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Pr>
          <w:rFonts w:ascii="Times New Roman" w:hAnsi="Times New Roman"/>
          <w:b/>
          <w:sz w:val="28"/>
          <w:szCs w:val="28"/>
        </w:rPr>
        <w:t>своих</w:t>
      </w:r>
      <w:r>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 </w:t>
      </w:r>
    </w:p>
    <w:p>
      <w:pPr>
        <w:pStyle w:val="ListParagraph"/>
        <w:numPr>
          <w:ilvl w:val="0"/>
          <w:numId w:val="1"/>
        </w:numPr>
        <w:ind w:left="0" w:firstLine="567"/>
        <w:rPr>
          <w:rFonts w:ascii="Times New Roman" w:hAnsi="Times New Roman"/>
          <w:sz w:val="28"/>
          <w:szCs w:val="28"/>
          <w:lang w:eastAsia="ru-RU"/>
        </w:rPr>
      </w:pPr>
      <w:r>
        <w:rPr>
          <w:rFonts w:ascii="Times New Roman" w:hAnsi="Times New Roman"/>
          <w:sz w:val="28"/>
          <w:szCs w:val="28"/>
        </w:rPr>
        <w:t>Вопросы подачи лицом, замещающим муниципальную должность депутата представительного органа муниципального образования или должность депутата законодательного органа субъекта Российской Федерации и осуществляющим свои полномочия без отрыва от основной деятельности (</w:t>
      </w:r>
      <w:r>
        <w:rPr>
          <w:rFonts w:ascii="Times New Roman" w:hAnsi="Times New Roman"/>
          <w:sz w:val="28"/>
        </w:rPr>
        <w:t>на непостоянной основе</w:t>
      </w:r>
      <w:r>
        <w:rPr>
          <w:rFonts w:ascii="Times New Roman" w:hAnsi="Times New Roman"/>
          <w:sz w:val="28"/>
          <w:szCs w:val="28"/>
        </w:rPr>
        <w:t>), заявления о невозможности сообщить высшему должностному лицу субъекта Российской Федерации или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регулируются законом (законами) субъекта Российской Федерации.</w:t>
      </w:r>
    </w:p>
    <w:p>
      <w:pPr>
        <w:pStyle w:val="ListParagraph"/>
        <w:ind w:left="0" w:firstLine="567"/>
        <w:rPr>
          <w:rFonts w:ascii="Times New Roman" w:hAnsi="Times New Roman"/>
          <w:sz w:val="28"/>
          <w:szCs w:val="28"/>
          <w:lang w:eastAsia="ru-RU"/>
        </w:rPr>
      </w:pPr>
      <w:r>
        <w:rPr>
          <w:rFonts w:ascii="Times New Roman" w:hAnsi="Times New Roman"/>
          <w:sz w:val="28"/>
          <w:szCs w:val="28"/>
        </w:rPr>
        <w:t xml:space="preserve">Вопросы подачи </w:t>
      </w:r>
      <w:r>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Pr>
          <w:rFonts w:ascii="Times New Roman" w:hAnsi="Times New Roman"/>
          <w:sz w:val="28"/>
          <w:szCs w:val="28"/>
        </w:rPr>
        <w:t>заявления о невозможности представить Сведения в отношении супруги (супруга) или несовершеннолетних детей</w:t>
      </w:r>
      <w:r>
        <w:rPr>
          <w:rFonts w:ascii="Times New Roman" w:hAnsi="Times New Roman"/>
          <w:sz w:val="28"/>
          <w:szCs w:val="28"/>
          <w:lang w:eastAsia="ru-RU"/>
        </w:rPr>
        <w:t xml:space="preserve"> регулируются нормативным правовым актом субъекта Российской Федерации и муниципальным правовым актом соответственно.</w:t>
      </w:r>
    </w:p>
    <w:p>
      <w:pPr>
        <w:pStyle w:val="Normal"/>
        <w:ind w:firstLine="567"/>
        <w:rPr>
          <w:rFonts w:ascii="Times New Roman" w:hAnsi="Times New Roman"/>
          <w:b/>
          <w:sz w:val="28"/>
          <w:szCs w:val="28"/>
        </w:rPr>
      </w:pPr>
      <w:r>
        <w:rPr>
          <w:rFonts w:ascii="Times New Roman" w:hAnsi="Times New Roman"/>
          <w:b/>
          <w:sz w:val="28"/>
          <w:szCs w:val="28"/>
        </w:rPr>
        <w:t>Рекомендуемые действия при невозможности представить Сведения вследствие не зависящих от служащего (работника) обстоятельств</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случае невозможности исполнения служащим (работником) обязанности представить Сведения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pPr>
        <w:pStyle w:val="ListParagraph"/>
        <w:ind w:left="0" w:firstLine="567"/>
        <w:rPr>
          <w:rFonts w:ascii="Times New Roman" w:hAnsi="Times New Roman"/>
          <w:sz w:val="28"/>
          <w:szCs w:val="28"/>
        </w:rPr>
      </w:pPr>
      <w:r>
        <w:rPr>
          <w:rFonts w:ascii="Times New Roman" w:hAnsi="Times New Roman"/>
          <w:sz w:val="28"/>
          <w:szCs w:val="28"/>
        </w:rPr>
        <w:t xml:space="preserve">Конкретные не зависящие от служащего (работника) обстоятельства приведены в части 4 статьи 13 Федерального закона от 25 декабря 2008 г. № 273-ФЗ "О противодействии коррупции".  </w:t>
      </w:r>
    </w:p>
    <w:p>
      <w:pPr>
        <w:pStyle w:val="ListParagraph"/>
        <w:ind w:left="0" w:firstLine="567"/>
        <w:rPr>
          <w:rFonts w:ascii="Times New Roman" w:hAnsi="Times New Roman"/>
          <w:sz w:val="28"/>
          <w:szCs w:val="28"/>
        </w:rPr>
      </w:pPr>
      <w:r>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Уведомление направляется также в случае невозможности по независящим обстоятельствам представления Сведений в отношении самого служащего (работника).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pPr>
        <w:pStyle w:val="Normal"/>
        <w:ind w:firstLine="851"/>
        <w:rPr>
          <w:rFonts w:ascii="Times New Roman" w:hAnsi="Times New Roman"/>
          <w:sz w:val="28"/>
          <w:szCs w:val="28"/>
        </w:rPr>
      </w:pPr>
      <w:r>
        <w:rPr>
          <w:rFonts w:ascii="Times New Roman" w:hAnsi="Times New Roman"/>
          <w:sz w:val="28"/>
          <w:szCs w:val="28"/>
        </w:rPr>
      </w:r>
    </w:p>
    <w:p>
      <w:pPr>
        <w:pStyle w:val="Normal"/>
        <w:ind w:hanging="0"/>
        <w:jc w:val="center"/>
        <w:rPr>
          <w:rFonts w:ascii="Times New Roman" w:hAnsi="Times New Roman"/>
          <w:b/>
          <w:sz w:val="28"/>
          <w:szCs w:val="28"/>
        </w:rPr>
      </w:pPr>
      <w:r>
        <w:rPr>
          <w:rFonts w:ascii="Times New Roman" w:hAnsi="Times New Roman"/>
          <w:b/>
          <w:sz w:val="28"/>
          <w:szCs w:val="28"/>
          <w:lang w:val="en-US"/>
        </w:rPr>
        <w:t>II</w:t>
      </w:r>
      <w:r>
        <w:rPr>
          <w:rFonts w:ascii="Times New Roman" w:hAnsi="Times New Roman"/>
          <w:b/>
          <w:sz w:val="28"/>
          <w:szCs w:val="28"/>
        </w:rPr>
        <w:t xml:space="preserve">. Заполнение справки о доходах, расходах, </w:t>
      </w:r>
    </w:p>
    <w:p>
      <w:pPr>
        <w:pStyle w:val="Normal"/>
        <w:ind w:hanging="0"/>
        <w:jc w:val="center"/>
        <w:rPr>
          <w:rFonts w:ascii="Times New Roman" w:hAnsi="Times New Roman"/>
          <w:b/>
          <w:sz w:val="28"/>
          <w:szCs w:val="28"/>
        </w:rPr>
      </w:pPr>
      <w:r>
        <w:rPr>
          <w:rFonts w:ascii="Times New Roman" w:hAnsi="Times New Roman"/>
          <w:b/>
          <w:sz w:val="28"/>
          <w:szCs w:val="28"/>
        </w:rPr>
        <w:t>об имуществе и обязательствах имущественного характера</w:t>
      </w:r>
    </w:p>
    <w:p>
      <w:pPr>
        <w:pStyle w:val="Normal"/>
        <w:ind w:firstLine="851"/>
        <w:jc w:val="center"/>
        <w:rPr>
          <w:rFonts w:ascii="Times New Roman" w:hAnsi="Times New Roman"/>
          <w:b/>
          <w:sz w:val="28"/>
          <w:szCs w:val="28"/>
        </w:rPr>
      </w:pPr>
      <w:r>
        <w:rPr>
          <w:rFonts w:ascii="Times New Roman" w:hAnsi="Times New Roman"/>
          <w:b/>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pPr>
        <w:pStyle w:val="ListParagraph"/>
        <w:ind w:left="0" w:firstLine="567"/>
        <w:rPr>
          <w:rFonts w:ascii="Times New Roman" w:hAnsi="Times New Roman"/>
          <w:sz w:val="28"/>
          <w:szCs w:val="28"/>
        </w:rPr>
      </w:pPr>
      <w:r>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pPr>
        <w:pStyle w:val="ListParagraph"/>
        <w:ind w:left="0" w:firstLine="567"/>
        <w:rPr>
          <w:rFonts w:ascii="Times New Roman" w:hAnsi="Times New Roman"/>
          <w:sz w:val="28"/>
          <w:szCs w:val="28"/>
        </w:rPr>
      </w:pPr>
      <w:r>
        <w:rPr>
          <w:rFonts w:ascii="Times New Roman" w:hAnsi="Times New Roman"/>
          <w:sz w:val="28"/>
          <w:szCs w:val="28"/>
        </w:rPr>
        <w:t>К справке могут быть приложены любые документы, в том числе пояснения служащего (работника). При этом разделом 2 справки предусмотрен случай, при котором к справке в обязательном порядке прилагаются соответствующие документы. В иных случаях приложение является правом служащего (работника).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Справка заполняется с использованием актуальной на дату представления Сведений 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pPr>
        <w:pStyle w:val="ListParagraph"/>
        <w:ind w:left="0" w:firstLine="567"/>
        <w:rPr>
          <w:rFonts w:ascii="Times New Roman" w:hAnsi="Times New Roman"/>
          <w:sz w:val="28"/>
          <w:szCs w:val="28"/>
        </w:rPr>
      </w:pPr>
      <w:r>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СПО "Справки БК" размещено на официальном сайте Президента Российской Федерации (</w:t>
      </w:r>
      <w:hyperlink r:id="rId14" w:tgtFrame="http://www.kremlin.ru/structure/additional/12">
        <w:r>
          <w:rPr>
            <w:rStyle w:val="-"/>
            <w:rFonts w:ascii="Times New Roman" w:hAnsi="Times New Roman"/>
            <w:sz w:val="28"/>
            <w:szCs w:val="28"/>
          </w:rPr>
          <w:t>http://www.kremlin.ru/structure/additional/12</w:t>
        </w:r>
      </w:hyperlink>
      <w:r>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5" w:tgtFrame="https://gossluzhba.gov.ru/anticorruption/spravki_bk">
        <w:r>
          <w:rPr>
            <w:rStyle w:val="-"/>
            <w:rFonts w:ascii="Times New Roman" w:hAnsi="Times New Roman"/>
            <w:sz w:val="28"/>
            <w:szCs w:val="28"/>
          </w:rPr>
          <w:t>https://gossluzhba.gov.ru/anticorruption/spravki_bk</w:t>
        </w:r>
      </w:hyperlink>
      <w:r>
        <w:rPr>
          <w:rFonts w:ascii="Times New Roman" w:hAnsi="Times New Roman"/>
          <w:sz w:val="28"/>
          <w:szCs w:val="28"/>
        </w:rPr>
        <w:t>).</w:t>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Pr>
          <w:rFonts w:ascii="Times New Roman" w:hAnsi="Times New Roman"/>
          <w:color w:val="1F497D"/>
          <w:sz w:val="28"/>
          <w:szCs w:val="28"/>
        </w:rPr>
        <w:t xml:space="preserve"> </w:t>
      </w:r>
      <w:r>
        <w:rPr>
          <w:rFonts w:ascii="Times New Roman" w:hAnsi="Times New Roman"/>
          <w:sz w:val="28"/>
          <w:szCs w:val="28"/>
        </w:rPr>
        <w:t>Наличие подписи на каждом листе (в пустой части страницы) не является нарушением.</w:t>
      </w:r>
      <w:r>
        <w:rPr>
          <w:rFonts w:ascii="Times New Roman" w:hAnsi="Times New Roman"/>
          <w:b/>
          <w:sz w:val="28"/>
          <w:szCs w:val="28"/>
        </w:rPr>
        <w:t xml:space="preserve"> </w:t>
      </w:r>
      <w:r>
        <w:rPr>
          <w:rFonts w:ascii="Times New Roman" w:hAnsi="Times New Roman"/>
          <w:sz w:val="28"/>
          <w:szCs w:val="28"/>
        </w:rPr>
        <w:t xml:space="preserve">Лицу, представляющему справки, рекомендуется распечатать, подписать и представить справки в течение одного дня (одной датой). </w:t>
      </w:r>
    </w:p>
    <w:p>
      <w:pPr>
        <w:pStyle w:val="ListParagraph"/>
        <w:ind w:left="0" w:firstLine="567"/>
        <w:rPr>
          <w:rFonts w:ascii="Times New Roman" w:hAnsi="Times New Roman"/>
          <w:sz w:val="28"/>
          <w:szCs w:val="28"/>
        </w:rPr>
      </w:pPr>
      <w:r>
        <w:rPr>
          <w:rFonts w:ascii="Times New Roman" w:hAnsi="Times New Roman"/>
          <w:sz w:val="28"/>
          <w:szCs w:val="28"/>
        </w:rPr>
        <w:t>При этом не допускаются ситуации, при которых дата печати справки, автоматически формируемая в правом нижнем углу каждого листа справки, будет ранее отчетной даты, указываемой на титульном листе справки, или позднее даты заверения достоверности и полноты на последнем листе справки.</w:t>
      </w:r>
    </w:p>
    <w:p>
      <w:pPr>
        <w:pStyle w:val="ListParagraph"/>
        <w:ind w:left="0" w:firstLine="567"/>
        <w:rPr>
          <w:rFonts w:ascii="Times New Roman" w:hAnsi="Times New Roman"/>
          <w:sz w:val="28"/>
          <w:szCs w:val="28"/>
        </w:rPr>
      </w:pPr>
      <w:r>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pPr>
        <w:pStyle w:val="ListParagraph"/>
        <w:ind w:left="0" w:firstLine="567"/>
        <w:rPr>
          <w:rFonts w:ascii="Times New Roman" w:hAnsi="Times New Roman"/>
          <w:sz w:val="28"/>
          <w:szCs w:val="28"/>
        </w:rPr>
      </w:pPr>
      <w:r>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pPr>
        <w:pStyle w:val="ListParagraph"/>
        <w:ind w:left="0" w:firstLine="567"/>
        <w:rPr>
          <w:rFonts w:ascii="Times New Roman" w:hAnsi="Times New Roman"/>
          <w:sz w:val="28"/>
          <w:szCs w:val="28"/>
        </w:rPr>
      </w:pPr>
      <w:r>
        <w:rPr>
          <w:rFonts w:ascii="Times New Roman" w:hAnsi="Times New Roman"/>
          <w:sz w:val="28"/>
          <w:szCs w:val="28"/>
        </w:rPr>
        <w:t xml:space="preserve">- для печати справок используется лазерный принтер, обеспечивающий качественную печать; </w:t>
      </w:r>
    </w:p>
    <w:p>
      <w:pPr>
        <w:pStyle w:val="ListParagraph"/>
        <w:ind w:left="0" w:firstLine="567"/>
        <w:rPr>
          <w:rFonts w:ascii="Times New Roman" w:hAnsi="Times New Roman"/>
          <w:sz w:val="28"/>
          <w:szCs w:val="28"/>
        </w:rPr>
      </w:pPr>
      <w:r>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pPr>
        <w:pStyle w:val="ListParagraph"/>
        <w:ind w:left="0" w:firstLine="567"/>
        <w:rPr>
          <w:rFonts w:ascii="Times New Roman" w:hAnsi="Times New Roman"/>
          <w:sz w:val="28"/>
          <w:szCs w:val="28"/>
        </w:rPr>
      </w:pPr>
      <w:r>
        <w:rPr>
          <w:rFonts w:ascii="Times New Roman" w:hAnsi="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p>
    <w:p>
      <w:pPr>
        <w:pStyle w:val="ListParagraph"/>
        <w:ind w:left="0" w:firstLine="567"/>
        <w:rPr>
          <w:rFonts w:ascii="Times New Roman" w:hAnsi="Times New Roman"/>
          <w:sz w:val="28"/>
          <w:szCs w:val="28"/>
        </w:rPr>
      </w:pPr>
      <w:r>
        <w:rPr>
          <w:rFonts w:ascii="Times New Roman" w:hAnsi="Times New Roman"/>
          <w:sz w:val="28"/>
          <w:szCs w:val="28"/>
        </w:rPr>
        <w:t xml:space="preserve">- не допускаются рукописные правки. </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 xml:space="preserve">Справки не следует прошивать и фиксировать скрепкой. </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 xml:space="preserve">Печатать справки рекомендуется только на одной стороне листа. </w:t>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w:t>
      </w:r>
      <w:hyperlink r:id="rId16">
        <w:r>
          <w:rPr>
            <w:rStyle w:val="-"/>
            <w:rFonts w:ascii="Times New Roman" w:hAnsi="Times New Roman"/>
            <w:sz w:val="28"/>
            <w:szCs w:val="28"/>
          </w:rPr>
          <w:t>https://www.cbr.ru/currency_base/daily/</w:t>
        </w:r>
      </w:hyperlink>
      <w:r>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pPr>
        <w:pStyle w:val="ListParagraph"/>
        <w:tabs>
          <w:tab w:val="clear" w:pos="709"/>
          <w:tab w:val="left" w:pos="851" w:leader="none"/>
        </w:tabs>
        <w:ind w:left="0" w:hanging="0"/>
        <w:jc w:val="center"/>
        <w:rPr>
          <w:rFonts w:ascii="Times New Roman" w:hAnsi="Times New Roman"/>
          <w:b/>
          <w:sz w:val="28"/>
          <w:szCs w:val="28"/>
        </w:rPr>
      </w:pPr>
      <w:r>
        <w:rPr>
          <w:rFonts w:ascii="Times New Roman" w:hAnsi="Times New Roman"/>
          <w:b/>
          <w:sz w:val="28"/>
          <w:szCs w:val="28"/>
        </w:rPr>
      </w:r>
    </w:p>
    <w:p>
      <w:pPr>
        <w:pStyle w:val="ListParagraph"/>
        <w:tabs>
          <w:tab w:val="clear" w:pos="709"/>
          <w:tab w:val="left" w:pos="851" w:leader="none"/>
        </w:tabs>
        <w:ind w:left="0" w:hanging="0"/>
        <w:jc w:val="center"/>
        <w:rPr>
          <w:rFonts w:ascii="Times New Roman" w:hAnsi="Times New Roman"/>
          <w:b/>
          <w:sz w:val="28"/>
          <w:szCs w:val="28"/>
        </w:rPr>
      </w:pPr>
      <w:r>
        <w:rPr>
          <w:rFonts w:ascii="Times New Roman" w:hAnsi="Times New Roman"/>
          <w:b/>
          <w:sz w:val="28"/>
          <w:szCs w:val="28"/>
        </w:rPr>
        <w:t>ТИТУЛЬНЫЙ ЛИСТ</w:t>
      </w:r>
    </w:p>
    <w:p>
      <w:pPr>
        <w:pStyle w:val="ListParagraph"/>
        <w:tabs>
          <w:tab w:val="clear" w:pos="709"/>
          <w:tab w:val="left" w:pos="851" w:leader="none"/>
        </w:tabs>
        <w:ind w:left="0" w:firstLine="851"/>
        <w:jc w:val="center"/>
        <w:rPr>
          <w:rFonts w:ascii="Times New Roman" w:hAnsi="Times New Roman"/>
          <w:b/>
          <w:sz w:val="28"/>
          <w:szCs w:val="28"/>
        </w:rPr>
      </w:pPr>
      <w:r>
        <w:rPr>
          <w:rFonts w:ascii="Times New Roman" w:hAnsi="Times New Roman"/>
          <w:b/>
          <w:sz w:val="28"/>
          <w:szCs w:val="28"/>
        </w:rPr>
      </w:r>
    </w:p>
    <w:p>
      <w:pPr>
        <w:pStyle w:val="ListParagraph"/>
        <w:numPr>
          <w:ilvl w:val="0"/>
          <w:numId w:val="1"/>
        </w:numPr>
        <w:tabs>
          <w:tab w:val="clear" w:pos="709"/>
          <w:tab w:val="left" w:pos="567" w:leader="none"/>
        </w:tabs>
        <w:ind w:left="0" w:firstLine="567"/>
        <w:rPr>
          <w:rFonts w:ascii="Times New Roman" w:hAnsi="Times New Roman"/>
          <w:sz w:val="28"/>
          <w:szCs w:val="28"/>
        </w:rPr>
      </w:pPr>
      <w:r>
        <w:rPr>
          <w:rFonts w:ascii="Times New Roman" w:hAnsi="Times New Roman"/>
          <w:bCs/>
          <w:sz w:val="28"/>
          <w:szCs w:val="28"/>
        </w:rPr>
        <w:t>При заполнении титульного листа справки рекомендуется обратить внимание на следующее</w:t>
      </w:r>
      <w:r>
        <w:rPr>
          <w:rFonts w:ascii="Times New Roman" w:hAnsi="Times New Roman"/>
          <w:sz w:val="28"/>
          <w:szCs w:val="28"/>
        </w:rPr>
        <w:t>:</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Pr>
          <w:rFonts w:ascii="Times New Roman" w:hAnsi="Times New Roman"/>
          <w:bCs/>
          <w:sz w:val="28"/>
          <w:szCs w:val="28"/>
        </w:rPr>
        <w:t>указываются (в именительном падеж</w:t>
      </w:r>
      <w:r>
        <w:rPr>
          <w:rFonts w:ascii="Times New Roman" w:hAnsi="Times New Roman"/>
          <w:color w:val="1F497D"/>
          <w:sz w:val="28"/>
          <w:szCs w:val="28"/>
        </w:rPr>
        <w:t>е</w:t>
      </w:r>
      <w:r>
        <w:rPr>
          <w:rFonts w:ascii="Times New Roman" w:hAnsi="Times New Roman"/>
          <w:bCs/>
          <w:sz w:val="28"/>
          <w:szCs w:val="28"/>
        </w:rPr>
        <w:t xml:space="preserve">) </w:t>
      </w:r>
      <w:r>
        <w:rPr>
          <w:rStyle w:val="Style13"/>
          <w:rFonts w:cs="Times New Roman" w:ascii="Times New Roman" w:hAnsi="Times New Roman"/>
          <w:sz w:val="28"/>
          <w:szCs w:val="28"/>
        </w:rPr>
        <w:t>полностью, без</w:t>
      </w:r>
      <w:r>
        <w:rPr>
          <w:rStyle w:val="Style13"/>
          <w:rFonts w:cs="Times New Roman" w:ascii="Times New Roman" w:hAnsi="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Pr>
          <w:rFonts w:ascii="Times New Roman" w:hAnsi="Times New Roman"/>
          <w:sz w:val="28"/>
          <w:szCs w:val="28"/>
        </w:rPr>
        <w:t>удостоверяющего личность документа указываются по состоянию на дату представления справки)</w:t>
      </w:r>
      <w:r>
        <w:rPr>
          <w:rStyle w:val="Style13"/>
          <w:rFonts w:cs="Times New Roman" w:ascii="Times New Roman" w:hAnsi="Times New Roman"/>
          <w:color w:val="000000"/>
          <w:sz w:val="28"/>
          <w:szCs w:val="28"/>
        </w:rPr>
        <w:t xml:space="preserve">. </w:t>
      </w:r>
      <w:r>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pPr>
        <w:pStyle w:val="Normal"/>
        <w:tabs>
          <w:tab w:val="clear" w:pos="709"/>
          <w:tab w:val="left" w:pos="567" w:leader="none"/>
        </w:tabs>
        <w:ind w:firstLine="567"/>
        <w:rPr>
          <w:rFonts w:ascii="Times New Roman" w:hAnsi="Times New Roman"/>
          <w:bCs/>
          <w:sz w:val="28"/>
          <w:szCs w:val="28"/>
        </w:rPr>
      </w:pPr>
      <w:r>
        <w:rPr>
          <w:rFonts w:ascii="Times New Roman" w:hAnsi="Times New Roman"/>
          <w:bCs/>
          <w:sz w:val="28"/>
          <w:szCs w:val="28"/>
        </w:rPr>
        <w:t>2) дата рождения (год рождения) указывается</w:t>
      </w:r>
      <w:r>
        <w:rPr>
          <w:rStyle w:val="Style13"/>
          <w:rFonts w:cs="Times New Roman" w:ascii="Times New Roman" w:hAnsi="Times New Roman"/>
          <w:color w:val="000000"/>
          <w:sz w:val="28"/>
          <w:szCs w:val="28"/>
        </w:rPr>
        <w:t xml:space="preserve"> в соответствии с записью в документе, удостоверяющем личность</w:t>
      </w:r>
      <w:r>
        <w:rPr>
          <w:rFonts w:ascii="Times New Roman" w:hAnsi="Times New Roman"/>
          <w:bCs/>
          <w:sz w:val="28"/>
          <w:szCs w:val="28"/>
        </w:rPr>
        <w:t>;</w:t>
      </w:r>
    </w:p>
    <w:p>
      <w:pPr>
        <w:pStyle w:val="Normal"/>
        <w:tabs>
          <w:tab w:val="clear" w:pos="709"/>
          <w:tab w:val="left" w:pos="567" w:leader="none"/>
        </w:tabs>
        <w:ind w:firstLine="567"/>
        <w:rPr>
          <w:rFonts w:ascii="Times New Roman" w:hAnsi="Times New Roman"/>
          <w:bCs/>
          <w:sz w:val="28"/>
          <w:szCs w:val="28"/>
        </w:rPr>
      </w:pPr>
      <w:r>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pPr>
        <w:pStyle w:val="ConsPlusNonformat"/>
        <w:tabs>
          <w:tab w:val="clear" w:pos="709"/>
          <w:tab w:val="left" w:pos="567" w:leader="none"/>
        </w:tabs>
        <w:ind w:firstLine="567"/>
        <w:rPr>
          <w:rStyle w:val="Style13"/>
          <w:rFonts w:ascii="Times New Roman" w:hAnsi="Times New Roman" w:cs="Times New Roman"/>
          <w:color w:val="000000"/>
          <w:sz w:val="28"/>
          <w:szCs w:val="28"/>
        </w:rPr>
      </w:pPr>
      <w:r>
        <w:rPr>
          <w:rStyle w:val="Style13"/>
          <w:rFonts w:cs="Times New Roman" w:ascii="Times New Roman" w:hAnsi="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Pr>
          <w:rFonts w:cs="Times New Roman" w:ascii="Times New Roman" w:hAnsi="Times New Roman"/>
          <w:sz w:val="28"/>
          <w:szCs w:val="28"/>
        </w:rPr>
        <w:t>(с 1 января по 1 (30) апреля года, следующего за отчетным)</w:t>
      </w:r>
      <w:r>
        <w:rPr>
          <w:rStyle w:val="Style13"/>
          <w:rFonts w:cs="Times New Roman" w:ascii="Times New Roman" w:hAnsi="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pPr>
        <w:pStyle w:val="ConsPlusNonformat"/>
        <w:tabs>
          <w:tab w:val="clear" w:pos="709"/>
          <w:tab w:val="left" w:pos="567" w:leader="none"/>
        </w:tabs>
        <w:ind w:firstLine="567"/>
        <w:rPr>
          <w:rStyle w:val="Style13"/>
          <w:rFonts w:ascii="Times New Roman" w:hAnsi="Times New Roman" w:cs="Times New Roman"/>
          <w:sz w:val="28"/>
          <w:szCs w:val="28"/>
        </w:rPr>
      </w:pPr>
      <w:r>
        <w:rPr>
          <w:rStyle w:val="Style13"/>
          <w:rFonts w:cs="Times New Roman" w:ascii="Times New Roman" w:hAnsi="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Pr>
          <w:rFonts w:cs="Times New Roman" w:ascii="Times New Roman" w:hAnsi="Times New Roman"/>
          <w:sz w:val="28"/>
          <w:szCs w:val="28"/>
        </w:rPr>
        <w:t>или "находится на домашнем воспитании".</w:t>
      </w:r>
    </w:p>
    <w:p>
      <w:pPr>
        <w:pStyle w:val="ConsPlusNonformat"/>
        <w:tabs>
          <w:tab w:val="clear" w:pos="709"/>
          <w:tab w:val="left" w:pos="567" w:leader="none"/>
        </w:tabs>
        <w:ind w:firstLine="567"/>
        <w:rPr>
          <w:rStyle w:val="Style13"/>
          <w:rFonts w:ascii="Times New Roman" w:hAnsi="Times New Roman" w:cs="Times New Roman"/>
          <w:sz w:val="28"/>
          <w:szCs w:val="28"/>
        </w:rPr>
      </w:pPr>
      <w:r>
        <w:rPr>
          <w:rStyle w:val="Style13"/>
          <w:rFonts w:cs="Times New Roman" w:ascii="Times New Roman" w:hAnsi="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Pr>
          <w:rFonts w:cs="Times New Roman" w:ascii="Times New Roman" w:hAnsi="Times New Roman"/>
          <w:sz w:val="28"/>
          <w:szCs w:val="28"/>
        </w:rPr>
        <w:t xml:space="preserve"> или "домохозяйка" ("домохозяин")</w:t>
      </w:r>
      <w:r>
        <w:rPr>
          <w:rStyle w:val="Style13"/>
          <w:rFonts w:cs="Times New Roman" w:ascii="Times New Roman" w:hAnsi="Times New Roman"/>
          <w:sz w:val="28"/>
          <w:szCs w:val="28"/>
        </w:rPr>
        <w:t>.</w:t>
      </w:r>
    </w:p>
    <w:p>
      <w:pPr>
        <w:pStyle w:val="ConsPlusNonformat"/>
        <w:tabs>
          <w:tab w:val="clear" w:pos="709"/>
          <w:tab w:val="left" w:pos="567" w:leader="none"/>
        </w:tabs>
        <w:ind w:firstLine="567"/>
        <w:rPr>
          <w:rFonts w:ascii="Times New Roman" w:hAnsi="Times New Roman" w:cs="Times New Roman"/>
          <w:sz w:val="28"/>
          <w:szCs w:val="28"/>
        </w:rPr>
      </w:pPr>
      <w:r>
        <w:rPr>
          <w:rStyle w:val="Style13"/>
          <w:rFonts w:cs="Times New Roman" w:ascii="Times New Roman" w:hAnsi="Times New Roman"/>
          <w:sz w:val="28"/>
          <w:szCs w:val="28"/>
        </w:rPr>
        <w:t xml:space="preserve">Лицу, осуществляющему уход за нетрудоспособными гражданами, в рассматриваемой графе рекомендуется указывать </w:t>
      </w:r>
      <w:r>
        <w:rPr>
          <w:rFonts w:cs="Times New Roman" w:ascii="Times New Roman" w:hAnsi="Times New Roman"/>
          <w:sz w:val="28"/>
          <w:szCs w:val="28"/>
        </w:rPr>
        <w:t>"</w:t>
      </w:r>
      <w:r>
        <w:rPr>
          <w:rStyle w:val="Style13"/>
          <w:rFonts w:cs="Times New Roman" w:ascii="Times New Roman" w:hAnsi="Times New Roman"/>
          <w:sz w:val="28"/>
          <w:szCs w:val="28"/>
        </w:rPr>
        <w:t>осуществляющий уход за нетрудоспособным гражданином</w:t>
      </w:r>
      <w:r>
        <w:rPr>
          <w:rFonts w:cs="Times New Roman" w:ascii="Times New Roman" w:hAnsi="Times New Roman"/>
          <w:sz w:val="28"/>
          <w:szCs w:val="28"/>
        </w:rPr>
        <w:t>".</w:t>
      </w:r>
    </w:p>
    <w:p>
      <w:pPr>
        <w:pStyle w:val="ConsPlusNonformat"/>
        <w:tabs>
          <w:tab w:val="clear" w:pos="709"/>
          <w:tab w:val="left" w:pos="567" w:leader="none"/>
        </w:tabs>
        <w:ind w:firstLine="567"/>
        <w:rPr>
          <w:rFonts w:ascii="Times New Roman" w:hAnsi="Times New Roman" w:cs="Times New Roman"/>
          <w:sz w:val="28"/>
          <w:szCs w:val="28"/>
        </w:rPr>
      </w:pPr>
      <w:r>
        <w:rPr>
          <w:rFonts w:cs="Times New Roman" w:ascii="Times New Roman" w:hAnsi="Times New Roman"/>
          <w:sz w:val="28"/>
          <w:szCs w:val="28"/>
        </w:rPr>
        <w:t>В случае прохождения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pPr>
        <w:pStyle w:val="ConsPlusNonformat"/>
        <w:tabs>
          <w:tab w:val="clear" w:pos="709"/>
          <w:tab w:val="left" w:pos="567" w:leader="none"/>
        </w:tabs>
        <w:ind w:firstLine="567"/>
        <w:rPr>
          <w:rFonts w:ascii="Times New Roman" w:hAnsi="Times New Roman" w:cs="Times New Roman"/>
          <w:sz w:val="28"/>
          <w:szCs w:val="28"/>
        </w:rPr>
      </w:pPr>
      <w:r>
        <w:rPr>
          <w:rFonts w:cs="Times New Roman" w:ascii="Times New Roman" w:hAnsi="Times New Roman"/>
          <w:sz w:val="28"/>
          <w:szCs w:val="28"/>
        </w:rPr>
        <w:t>Представление депутатом представительного органа муниципального образования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pPr>
        <w:pStyle w:val="ConsPlusNonformat"/>
        <w:tabs>
          <w:tab w:val="clear" w:pos="709"/>
          <w:tab w:val="left" w:pos="567" w:leader="none"/>
        </w:tabs>
        <w:ind w:firstLine="567"/>
        <w:rPr>
          <w:rFonts w:ascii="Times New Roman" w:hAnsi="Times New Roman" w:cs="Times New Roman"/>
          <w:sz w:val="28"/>
          <w:szCs w:val="28"/>
        </w:rPr>
      </w:pPr>
      <w:r>
        <w:rPr>
          <w:rStyle w:val="Style13"/>
          <w:rFonts w:cs="Times New Roman" w:ascii="Times New Roman" w:hAnsi="Times New Roman"/>
          <w:sz w:val="28"/>
          <w:szCs w:val="28"/>
        </w:rPr>
        <w:t xml:space="preserve">5) при наличии на отчетную дату нескольких мест работы на титульном листе справки </w:t>
      </w:r>
      <w:r>
        <w:rPr>
          <w:rFonts w:cs="Times New Roman" w:ascii="Times New Roman" w:hAnsi="Times New Roman"/>
          <w:sz w:val="28"/>
          <w:szCs w:val="28"/>
        </w:rPr>
        <w:t>обязательно</w:t>
      </w:r>
      <w:r>
        <w:rPr>
          <w:rStyle w:val="Style13"/>
          <w:rFonts w:cs="Times New Roman" w:ascii="Times New Roman" w:hAnsi="Times New Roman"/>
          <w:sz w:val="28"/>
          <w:szCs w:val="28"/>
        </w:rPr>
        <w:t xml:space="preserve"> указывается основное место работы, т.е. </w:t>
      </w:r>
      <w:r>
        <w:rPr>
          <w:rFonts w:cs="Times New Roman" w:ascii="Times New Roman" w:hAnsi="Times New Roman"/>
          <w:sz w:val="28"/>
          <w:szCs w:val="28"/>
        </w:rPr>
        <w:t>организация, в которой находится трудовая книжка. При этом рекомендуется указать и иные места работы.</w:t>
      </w:r>
    </w:p>
    <w:p>
      <w:pPr>
        <w:pStyle w:val="ConsPlusNonformat"/>
        <w:tabs>
          <w:tab w:val="clear" w:pos="709"/>
          <w:tab w:val="left" w:pos="567" w:leader="none"/>
        </w:tabs>
        <w:ind w:firstLine="567"/>
        <w:rPr>
          <w:rFonts w:ascii="Times New Roman" w:hAnsi="Times New Roman" w:cs="Times New Roman"/>
          <w:sz w:val="28"/>
          <w:szCs w:val="28"/>
        </w:rPr>
      </w:pPr>
      <w:r>
        <w:rPr>
          <w:rFonts w:cs="Times New Roman" w:ascii="Times New Roman" w:hAnsi="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pPr>
        <w:pStyle w:val="ConsPlusNonformat"/>
        <w:tabs>
          <w:tab w:val="clear" w:pos="709"/>
          <w:tab w:val="left" w:pos="567" w:leader="none"/>
        </w:tabs>
        <w:ind w:firstLine="567"/>
        <w:rPr>
          <w:rFonts w:ascii="Times New Roman" w:hAnsi="Times New Roman" w:cs="Times New Roman"/>
          <w:sz w:val="28"/>
          <w:szCs w:val="28"/>
        </w:rPr>
      </w:pPr>
      <w:r>
        <w:rPr>
          <w:rFonts w:cs="Times New Roman" w:ascii="Times New Roman" w:hAnsi="Times New Roman"/>
          <w:sz w:val="28"/>
          <w:szCs w:val="28"/>
        </w:rPr>
        <w:t>При заполнении справки лица, зарегистрированного в качестве индивидуального предпринимателя, рекомендуется указывать соответствующий статус.</w:t>
      </w:r>
    </w:p>
    <w:p>
      <w:pPr>
        <w:pStyle w:val="ConsPlusNonformat"/>
        <w:tabs>
          <w:tab w:val="clear" w:pos="709"/>
          <w:tab w:val="left" w:pos="567" w:leader="none"/>
        </w:tabs>
        <w:ind w:firstLine="567"/>
        <w:rPr>
          <w:rFonts w:ascii="Times New Roman" w:hAnsi="Times New Roman" w:cs="Times New Roman"/>
          <w:sz w:val="28"/>
          <w:szCs w:val="28"/>
        </w:rPr>
      </w:pPr>
      <w:r>
        <w:rPr>
          <w:rFonts w:cs="Times New Roman" w:ascii="Times New Roman" w:hAnsi="Times New Roman"/>
          <w:sz w:val="28"/>
          <w:szCs w:val="28"/>
        </w:rPr>
        <w:t>При заполнении справки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pPr>
        <w:pStyle w:val="ConsPlusNonformat"/>
        <w:tabs>
          <w:tab w:val="clear" w:pos="709"/>
          <w:tab w:val="left" w:pos="567" w:leader="none"/>
        </w:tabs>
        <w:ind w:firstLine="567"/>
        <w:rPr>
          <w:rFonts w:ascii="Times New Roman" w:hAnsi="Times New Roman" w:cs="Times New Roman"/>
          <w:sz w:val="28"/>
          <w:szCs w:val="28"/>
        </w:rPr>
      </w:pPr>
      <w:r>
        <w:rPr>
          <w:rStyle w:val="Style13"/>
          <w:rFonts w:cs="Times New Roman" w:ascii="Times New Roman" w:hAnsi="Times New Roman"/>
          <w:color w:val="000000"/>
          <w:sz w:val="28"/>
          <w:szCs w:val="28"/>
        </w:rPr>
        <w:t>6) а</w:t>
      </w:r>
      <w:r>
        <w:rPr>
          <w:rFonts w:cs="Times New Roman" w:ascii="Times New Roman" w:hAnsi="Times New Roman"/>
          <w:bCs/>
          <w:sz w:val="28"/>
          <w:szCs w:val="28"/>
        </w:rPr>
        <w:t>дрес места регистрации у</w:t>
      </w:r>
      <w:r>
        <w:rPr>
          <w:rFonts w:cs="Times New Roman" w:ascii="Times New Roman" w:hAnsi="Times New Roman"/>
          <w:sz w:val="28"/>
          <w:szCs w:val="28"/>
        </w:rPr>
        <w:t xml:space="preserve">казывается </w:t>
      </w:r>
      <w:r>
        <w:rPr>
          <w:rStyle w:val="Style13"/>
          <w:rFonts w:cs="Times New Roman" w:ascii="Times New Roman" w:hAnsi="Times New Roman"/>
          <w:sz w:val="28"/>
          <w:szCs w:val="28"/>
        </w:rPr>
        <w:t>по состоянию на дату представления справки</w:t>
      </w:r>
      <w:r>
        <w:rPr>
          <w:rStyle w:val="Style13"/>
          <w:rFonts w:cs="Times New Roman" w:ascii="Times New Roman" w:hAnsi="Times New Roman"/>
          <w:color w:val="000000"/>
          <w:sz w:val="28"/>
          <w:szCs w:val="28"/>
        </w:rPr>
        <w:t xml:space="preserve"> </w:t>
      </w:r>
      <w:r>
        <w:rPr>
          <w:rFonts w:cs="Times New Roman" w:ascii="Times New Roman" w:hAnsi="Times New Roman"/>
          <w:sz w:val="28"/>
          <w:szCs w:val="28"/>
        </w:rPr>
        <w:t>на основании записи в паспорте</w:t>
      </w:r>
      <w:r>
        <w:rPr>
          <w:rStyle w:val="Style13"/>
          <w:rFonts w:cs="Times New Roman" w:ascii="Times New Roman" w:hAnsi="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Pr>
          <w:rFonts w:cs="Times New Roman" w:ascii="Times New Roman" w:hAnsi="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pPr>
        <w:pStyle w:val="Normal"/>
        <w:rPr>
          <w:rFonts w:ascii="Times New Roman" w:hAnsi="Times New Roman"/>
          <w:sz w:val="28"/>
          <w:szCs w:val="28"/>
        </w:rPr>
      </w:pPr>
      <w:r>
        <w:rPr>
          <w:rFonts w:ascii="Times New Roman" w:hAnsi="Times New Roman"/>
          <w:sz w:val="28"/>
          <w:szCs w:val="28"/>
        </w:rPr>
      </w:r>
    </w:p>
    <w:p>
      <w:pPr>
        <w:pStyle w:val="Normal"/>
        <w:ind w:hanging="0"/>
        <w:jc w:val="center"/>
        <w:rPr>
          <w:rFonts w:ascii="Times New Roman" w:hAnsi="Times New Roman"/>
          <w:b/>
          <w:sz w:val="28"/>
          <w:szCs w:val="28"/>
        </w:rPr>
      </w:pPr>
      <w:r>
        <w:rPr>
          <w:rFonts w:ascii="Times New Roman" w:hAnsi="Times New Roman"/>
          <w:b/>
          <w:sz w:val="28"/>
          <w:szCs w:val="28"/>
        </w:rPr>
        <w:t>РАЗДЕЛ 1. СВЕДЕНИЯ О ДОХОДАХ</w:t>
      </w:r>
    </w:p>
    <w:p>
      <w:pPr>
        <w:pStyle w:val="Normal"/>
        <w:ind w:firstLine="851"/>
        <w:jc w:val="center"/>
        <w:rPr>
          <w:rFonts w:ascii="Times New Roman" w:hAnsi="Times New Roman"/>
          <w:b/>
          <w:sz w:val="28"/>
          <w:szCs w:val="28"/>
        </w:rPr>
      </w:pPr>
      <w:r>
        <w:rPr>
          <w:rFonts w:ascii="Times New Roman" w:hAnsi="Times New Roman"/>
          <w:b/>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определенного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pPr>
        <w:pStyle w:val="ListParagraph"/>
        <w:numPr>
          <w:ilvl w:val="0"/>
          <w:numId w:val="1"/>
        </w:numPr>
        <w:ind w:left="0" w:firstLine="709"/>
        <w:rPr>
          <w:rFonts w:ascii="Times New Roman" w:hAnsi="Times New Roman"/>
          <w:sz w:val="28"/>
          <w:szCs w:val="28"/>
        </w:rPr>
      </w:pPr>
      <w:r>
        <w:rPr>
          <w:rFonts w:eastAsia="Times New Roman" w:ascii="Times New Roman" w:hAnsi="Times New Roman"/>
          <w:sz w:val="28"/>
          <w:szCs w:val="28"/>
          <w:lang w:eastAsia="ru-RU"/>
        </w:rPr>
        <w:t>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разделе справки служащего (работника)).</w:t>
      </w:r>
    </w:p>
    <w:p>
      <w:pPr>
        <w:pStyle w:val="ListParagraph"/>
        <w:tabs>
          <w:tab w:val="clear" w:pos="709"/>
          <w:tab w:val="left" w:pos="1134" w:leader="none"/>
        </w:tabs>
        <w:ind w:left="0" w:firstLine="567"/>
        <w:rPr>
          <w:rFonts w:ascii="Times New Roman" w:hAnsi="Times New Roman"/>
          <w:b/>
          <w:sz w:val="28"/>
          <w:szCs w:val="28"/>
        </w:rPr>
      </w:pPr>
      <w:r>
        <w:rPr>
          <w:rFonts w:ascii="Times New Roman" w:hAnsi="Times New Roman"/>
          <w:b/>
          <w:sz w:val="28"/>
          <w:szCs w:val="28"/>
        </w:rPr>
        <w:t>Доход по основному месту работы</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о доходах и суммах налога физического лица, выдаваемой по месту службы (работы) (графа "Общая сумма дохода"). Если по основному месту работы получен доход, который не включен в Справку о доходах и суммах налога физического лица, он подлежит указанию в иных доходах. </w:t>
      </w:r>
    </w:p>
    <w:p>
      <w:pPr>
        <w:pStyle w:val="Normal"/>
        <w:ind w:firstLine="567"/>
        <w:rPr>
          <w:rFonts w:ascii="Times New Roman" w:hAnsi="Times New Roman"/>
          <w:sz w:val="28"/>
          <w:szCs w:val="28"/>
        </w:rPr>
      </w:pPr>
      <w:r>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Справке о доходах и суммах налога физического лица отличаются, и приложить их к справке.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Pr>
          <w:rFonts w:ascii="Times New Roman" w:hAnsi="Times New Roman"/>
          <w:b/>
          <w:sz w:val="28"/>
        </w:rPr>
        <w:t>"Иные доходы"</w:t>
      </w:r>
      <w:r>
        <w:rPr>
          <w:rFonts w:ascii="Times New Roman" w:hAnsi="Times New Roman"/>
          <w:sz w:val="28"/>
          <w:szCs w:val="28"/>
        </w:rPr>
        <w:t>. При этом в графе "Вид дохода" указывается предыдущее место работы.</w:t>
      </w:r>
    </w:p>
    <w:p>
      <w:pPr>
        <w:pStyle w:val="ListParagraph"/>
        <w:ind w:left="0" w:firstLine="567"/>
        <w:rPr>
          <w:rFonts w:ascii="Times New Roman" w:hAnsi="Times New Roman"/>
          <w:b/>
          <w:sz w:val="28"/>
          <w:szCs w:val="28"/>
        </w:rPr>
      </w:pPr>
      <w:r>
        <w:rPr>
          <w:rFonts w:ascii="Times New Roman" w:hAnsi="Times New Roman"/>
          <w:b/>
          <w:sz w:val="28"/>
          <w:szCs w:val="28"/>
        </w:rPr>
        <w:t>Особенности заполнения данной графы отдельными категориями лиц</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pPr>
        <w:pStyle w:val="Normal"/>
        <w:ind w:firstLine="567"/>
        <w:rPr>
          <w:rFonts w:ascii="Times New Roman" w:hAnsi="Times New Roman"/>
          <w:sz w:val="28"/>
          <w:szCs w:val="28"/>
        </w:rPr>
      </w:pPr>
      <w:r>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pPr>
        <w:pStyle w:val="Normal"/>
        <w:ind w:firstLine="567"/>
        <w:rPr>
          <w:rFonts w:ascii="Times New Roman" w:hAnsi="Times New Roman"/>
          <w:sz w:val="28"/>
          <w:szCs w:val="28"/>
        </w:rPr>
      </w:pPr>
      <w:r>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pPr>
        <w:pStyle w:val="Normal"/>
        <w:ind w:firstLine="567"/>
        <w:rPr>
          <w:rFonts w:ascii="Times New Roman" w:hAnsi="Times New Roman"/>
          <w:sz w:val="28"/>
          <w:szCs w:val="28"/>
        </w:rPr>
      </w:pPr>
      <w:r>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pPr>
        <w:pStyle w:val="Normal"/>
        <w:ind w:firstLine="567"/>
        <w:rPr>
          <w:rFonts w:ascii="Times New Roman" w:hAnsi="Times New Roman"/>
          <w:sz w:val="28"/>
          <w:szCs w:val="28"/>
        </w:rPr>
      </w:pPr>
      <w:r>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Pr>
          <w:rFonts w:ascii="Times New Roman" w:hAnsi="Times New Roman"/>
          <w:b/>
          <w:sz w:val="28"/>
          <w:szCs w:val="28"/>
        </w:rPr>
        <w:t xml:space="preserve">"Доход по основному месту работы" </w:t>
      </w:r>
      <w:r>
        <w:rPr>
          <w:rFonts w:ascii="Times New Roman" w:hAnsi="Times New Roman"/>
          <w:sz w:val="28"/>
          <w:szCs w:val="28"/>
        </w:rPr>
        <w:t>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w:t>
      </w:r>
      <w:r>
        <w:rPr>
          <w:rFonts w:ascii="Times New Roman" w:hAnsi="Times New Roman"/>
          <w:b/>
          <w:sz w:val="28"/>
          <w:szCs w:val="28"/>
        </w:rPr>
        <w:t xml:space="preserve"> "Иные доходы" </w:t>
      </w:r>
      <w:r>
        <w:rPr>
          <w:rFonts w:ascii="Times New Roman" w:hAnsi="Times New Roman"/>
          <w:sz w:val="28"/>
          <w:szCs w:val="28"/>
        </w:rPr>
        <w:t>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служащими содержатся в письме Минтруда России от 19 апреля 2021 г. № 28-6/10/В-4623 (</w:t>
      </w:r>
      <w:hyperlink r:id="rId17" w:tgtFrame="https://mintrud.gov.ru/docs/1872">
        <w:r>
          <w:rPr>
            <w:rStyle w:val="-"/>
            <w:rFonts w:ascii="Times New Roman" w:hAnsi="Times New Roman"/>
            <w:sz w:val="28"/>
            <w:szCs w:val="28"/>
          </w:rPr>
          <w:t>https://mintrud.gov.ru/docs/1872</w:t>
        </w:r>
      </w:hyperlink>
      <w:r>
        <w:rPr>
          <w:rFonts w:ascii="Times New Roman" w:hAnsi="Times New Roman"/>
          <w:sz w:val="28"/>
          <w:szCs w:val="28"/>
        </w:rPr>
        <w:t xml:space="preserve">). </w:t>
      </w:r>
    </w:p>
    <w:p>
      <w:pPr>
        <w:pStyle w:val="ListParagraph"/>
        <w:tabs>
          <w:tab w:val="clear" w:pos="709"/>
          <w:tab w:val="left" w:pos="1276" w:leader="none"/>
        </w:tabs>
        <w:ind w:left="0" w:firstLine="567"/>
        <w:rPr>
          <w:rFonts w:ascii="Times New Roman" w:hAnsi="Times New Roman"/>
          <w:b/>
          <w:sz w:val="28"/>
          <w:szCs w:val="28"/>
        </w:rPr>
      </w:pPr>
      <w:r>
        <w:rPr>
          <w:rFonts w:ascii="Times New Roman" w:hAnsi="Times New Roman"/>
          <w:b/>
          <w:sz w:val="28"/>
          <w:szCs w:val="28"/>
        </w:rPr>
        <w:t>Доход от педагогической и научной деятельности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данной строке указывается сумма дохода от педагогической деятельности (сумма дохода, содержащаяся в Справке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строке </w:t>
      </w:r>
      <w:r>
        <w:rPr>
          <w:rFonts w:ascii="Times New Roman" w:hAnsi="Times New Roman"/>
          <w:b/>
          <w:sz w:val="28"/>
        </w:rPr>
        <w:t>"Доход по основному месту работы"</w:t>
      </w:r>
      <w:r>
        <w:rPr>
          <w:rFonts w:ascii="Times New Roman" w:hAnsi="Times New Roman"/>
          <w:sz w:val="28"/>
          <w:szCs w:val="28"/>
        </w:rPr>
        <w:t xml:space="preserve">, а не в строке </w:t>
      </w:r>
      <w:r>
        <w:rPr>
          <w:rFonts w:ascii="Times New Roman" w:hAnsi="Times New Roman"/>
          <w:b/>
          <w:sz w:val="28"/>
        </w:rPr>
        <w:t>"Доход от педагогической и научной деятельности"</w:t>
      </w:r>
      <w:r>
        <w:rPr>
          <w:rFonts w:ascii="Times New Roman" w:hAnsi="Times New Roman"/>
          <w:sz w:val="28"/>
          <w:szCs w:val="28"/>
        </w:rPr>
        <w:t>.</w:t>
      </w:r>
    </w:p>
    <w:p>
      <w:pPr>
        <w:pStyle w:val="ListParagraph"/>
        <w:ind w:left="0" w:firstLine="567"/>
        <w:rPr>
          <w:rFonts w:ascii="Times New Roman" w:hAnsi="Times New Roman"/>
          <w:b/>
          <w:sz w:val="28"/>
          <w:szCs w:val="28"/>
        </w:rPr>
      </w:pPr>
      <w:r>
        <w:rPr>
          <w:rFonts w:ascii="Times New Roman" w:hAnsi="Times New Roman"/>
          <w:b/>
          <w:sz w:val="28"/>
          <w:szCs w:val="28"/>
        </w:rPr>
        <w:t>Доход от иной творческой деятельности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pPr>
        <w:pStyle w:val="Default"/>
        <w:numPr>
          <w:ilvl w:val="0"/>
          <w:numId w:val="1"/>
        </w:numPr>
        <w:ind w:left="0" w:firstLine="567"/>
        <w:rPr>
          <w:color w:val="auto"/>
          <w:sz w:val="28"/>
          <w:szCs w:val="28"/>
        </w:rPr>
      </w:pPr>
      <w:r>
        <w:rPr>
          <w:color w:val="auto"/>
          <w:sz w:val="28"/>
          <w:szCs w:val="28"/>
        </w:rPr>
        <w:t xml:space="preserve">Подлежат указанию в строках </w:t>
      </w:r>
      <w:r>
        <w:rPr>
          <w:b/>
          <w:color w:val="auto"/>
          <w:sz w:val="28"/>
          <w:szCs w:val="28"/>
        </w:rPr>
        <w:t>"Доход от педагогической и научной деятельности"</w:t>
      </w:r>
      <w:r>
        <w:rPr>
          <w:color w:val="auto"/>
          <w:sz w:val="28"/>
          <w:szCs w:val="28"/>
        </w:rPr>
        <w:t xml:space="preserve"> и </w:t>
      </w:r>
      <w:r>
        <w:rPr>
          <w:b/>
          <w:color w:val="auto"/>
          <w:sz w:val="28"/>
          <w:szCs w:val="28"/>
        </w:rPr>
        <w:t>"Доход от иной творческой деятельности"</w:t>
      </w:r>
      <w:r>
        <w:rPr>
          <w:color w:val="auto"/>
          <w:sz w:val="28"/>
          <w:szCs w:val="28"/>
        </w:rP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pPr>
        <w:pStyle w:val="Normal"/>
        <w:tabs>
          <w:tab w:val="clear" w:pos="709"/>
          <w:tab w:val="left" w:pos="1134" w:leader="none"/>
        </w:tabs>
        <w:ind w:firstLine="567"/>
        <w:rPr>
          <w:rFonts w:ascii="Times New Roman" w:hAnsi="Times New Roman"/>
          <w:b/>
          <w:sz w:val="28"/>
          <w:szCs w:val="28"/>
        </w:rPr>
      </w:pPr>
      <w:r>
        <w:rPr>
          <w:rFonts w:ascii="Times New Roman" w:hAnsi="Times New Roman"/>
          <w:b/>
          <w:sz w:val="28"/>
          <w:szCs w:val="28"/>
        </w:rPr>
        <w:t>Доход от вкладов в банках и иных кредитных организациях</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Сведения о наличии соответствующих банковских счетов и вкладов указываются в разделе 4 справки.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r>
        <w:rPr>
          <w:rFonts w:eastAsia="Times New Roman" w:ascii="Times New Roman" w:hAnsi="Times New Roman"/>
          <w:sz w:val="28"/>
          <w:szCs w:val="28"/>
          <w:lang w:eastAsia="ru-RU"/>
        </w:rPr>
        <w:t>(с учетом положений пункта 54 настоящих Методических рекомендаций)</w:t>
      </w:r>
      <w:r>
        <w:rPr>
          <w:rFonts w:ascii="Times New Roman" w:hAnsi="Times New Roman"/>
          <w:sz w:val="28"/>
          <w:szCs w:val="28"/>
        </w:rPr>
        <w:t xml:space="preserve">.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pPr>
        <w:pStyle w:val="ListParagraph"/>
        <w:numPr>
          <w:ilvl w:val="0"/>
          <w:numId w:val="1"/>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 xml:space="preserve">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r>
        <w:rPr>
          <w:rFonts w:eastAsia="Times New Roman" w:ascii="Times New Roman" w:hAnsi="Times New Roman"/>
          <w:sz w:val="28"/>
          <w:szCs w:val="28"/>
          <w:lang w:eastAsia="ru-RU"/>
        </w:rPr>
        <w:t>(с учетом положений пункта 54 настоящих Методических рекомендаций)</w:t>
      </w:r>
      <w:r>
        <w:rPr>
          <w:rFonts w:ascii="Times New Roman" w:hAnsi="Times New Roman"/>
          <w:sz w:val="28"/>
          <w:szCs w:val="28"/>
        </w:rPr>
        <w:t xml:space="preserve">.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(за исключением случая, указанного в пункте 75 настоящих Методических рекомендаций).</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pPr>
        <w:pStyle w:val="ListParagraph"/>
        <w:tabs>
          <w:tab w:val="clear" w:pos="709"/>
          <w:tab w:val="left" w:pos="1276" w:leader="none"/>
        </w:tabs>
        <w:ind w:left="0" w:firstLine="567"/>
        <w:rPr>
          <w:rFonts w:ascii="Times New Roman" w:hAnsi="Times New Roman"/>
          <w:sz w:val="28"/>
          <w:szCs w:val="28"/>
        </w:rPr>
      </w:pPr>
      <w:r>
        <w:rPr>
          <w:rFonts w:ascii="Times New Roman" w:hAnsi="Times New Roman"/>
          <w:sz w:val="28"/>
          <w:szCs w:val="28"/>
        </w:rP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Pr>
          <w:rStyle w:val="Style13"/>
          <w:rFonts w:cs="Times New Roman" w:ascii="Times New Roman" w:hAnsi="Times New Roman"/>
          <w:sz w:val="28"/>
          <w:szCs w:val="28"/>
        </w:rPr>
        <w:t>полученной в рамках Указания Банка России № 5798-У, такие сведения не отражаются в справке.</w:t>
      </w:r>
    </w:p>
    <w:p>
      <w:pPr>
        <w:pStyle w:val="ListParagraph"/>
        <w:tabs>
          <w:tab w:val="clear" w:pos="709"/>
          <w:tab w:val="left" w:pos="1276" w:leader="none"/>
        </w:tabs>
        <w:ind w:left="0" w:firstLine="567"/>
        <w:rPr>
          <w:rFonts w:ascii="Times New Roman" w:hAnsi="Times New Roman"/>
          <w:b/>
          <w:sz w:val="28"/>
          <w:szCs w:val="28"/>
        </w:rPr>
      </w:pPr>
      <w:r>
        <w:rPr>
          <w:rFonts w:ascii="Times New Roman" w:hAnsi="Times New Roman"/>
          <w:b/>
          <w:sz w:val="28"/>
          <w:szCs w:val="28"/>
        </w:rPr>
        <w:t>Доход от ценных бумаг и долей участия в коммерческих организациях</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pPr>
        <w:pStyle w:val="ListParagraph"/>
        <w:ind w:left="0" w:firstLine="567"/>
        <w:rPr>
          <w:rFonts w:ascii="Times New Roman" w:hAnsi="Times New Roman"/>
          <w:sz w:val="28"/>
          <w:szCs w:val="28"/>
        </w:rPr>
      </w:pPr>
      <w:r>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pPr>
        <w:pStyle w:val="ListParagraph"/>
        <w:ind w:left="0" w:firstLine="567"/>
        <w:rPr>
          <w:rFonts w:ascii="Times New Roman" w:hAnsi="Times New Roman"/>
          <w:sz w:val="28"/>
          <w:szCs w:val="28"/>
        </w:rPr>
      </w:pPr>
      <w:r>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статьей 214.1 Налогового кодекса Российской Федерации);</w:t>
      </w:r>
    </w:p>
    <w:p>
      <w:pPr>
        <w:pStyle w:val="ListParagraph"/>
        <w:ind w:left="0" w:firstLine="567"/>
        <w:rPr>
          <w:rFonts w:ascii="Times New Roman" w:hAnsi="Times New Roman"/>
          <w:sz w:val="28"/>
          <w:szCs w:val="28"/>
        </w:rPr>
      </w:pPr>
      <w:r>
        <w:rPr>
          <w:rFonts w:ascii="Times New Roman" w:hAnsi="Times New Roman"/>
          <w:sz w:val="28"/>
          <w:szCs w:val="28"/>
        </w:rPr>
        <w:t>3) дисконт, полученный в качестве дохода по облигациям;</w:t>
      </w:r>
    </w:p>
    <w:p>
      <w:pPr>
        <w:pStyle w:val="ListParagraph"/>
        <w:tabs>
          <w:tab w:val="clear" w:pos="709"/>
          <w:tab w:val="left" w:pos="1276" w:leader="none"/>
        </w:tabs>
        <w:ind w:left="0" w:firstLine="567"/>
        <w:rPr>
          <w:rFonts w:ascii="Times New Roman" w:hAnsi="Times New Roman"/>
          <w:sz w:val="28"/>
          <w:szCs w:val="28"/>
        </w:rPr>
      </w:pPr>
      <w:r>
        <w:rPr>
          <w:rFonts w:ascii="Times New Roman" w:hAnsi="Times New Roman"/>
          <w:sz w:val="28"/>
          <w:szCs w:val="28"/>
        </w:rPr>
        <w:t>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главой 23 Налогового кодекса Российской Федерации</w:t>
      </w:r>
      <w:r>
        <w:rPr>
          <w:rFonts w:ascii="Times New Roman" w:hAnsi="Times New Roman"/>
          <w:sz w:val="28"/>
          <w:szCs w:val="28"/>
          <w:shd w:fill="FFFFFF" w:val="clear"/>
        </w:rPr>
        <w:t>.</w:t>
      </w:r>
      <w:r>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 Рекомендуется учитывать содержание графы "Налоговая база" соответствующей Справки о доходах и суммах налога физического лица. </w:t>
      </w:r>
    </w:p>
    <w:p>
      <w:pPr>
        <w:pStyle w:val="ListParagraph"/>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pPr>
        <w:pStyle w:val="ListParagraph"/>
        <w:tabs>
          <w:tab w:val="clear" w:pos="709"/>
          <w:tab w:val="left" w:pos="1276" w:leader="none"/>
        </w:tabs>
        <w:ind w:left="0" w:firstLine="567"/>
        <w:rPr>
          <w:rFonts w:ascii="Times New Roman" w:hAnsi="Times New Roman"/>
          <w:b/>
          <w:sz w:val="28"/>
          <w:szCs w:val="28"/>
        </w:rPr>
      </w:pPr>
      <w:r>
        <w:rPr>
          <w:rFonts w:ascii="Times New Roman" w:hAnsi="Times New Roman"/>
          <w:b/>
          <w:sz w:val="28"/>
          <w:szCs w:val="28"/>
        </w:rPr>
        <w:t>Иные доходы</w:t>
      </w:r>
    </w:p>
    <w:p>
      <w:pPr>
        <w:pStyle w:val="Style22"/>
        <w:numPr>
          <w:ilvl w:val="0"/>
          <w:numId w:val="1"/>
        </w:numPr>
        <w:shd w:val="clear" w:color="auto" w:fill="auto"/>
        <w:tabs>
          <w:tab w:val="clear" w:pos="709"/>
          <w:tab w:val="left" w:pos="142" w:leader="none"/>
        </w:tabs>
        <w:spacing w:lineRule="auto" w:line="240" w:before="0" w:after="0"/>
        <w:ind w:left="0" w:firstLine="567"/>
        <w:rPr>
          <w:rStyle w:val="Style13"/>
          <w:rFonts w:ascii="Times New Roman" w:hAnsi="Times New Roman" w:cs="Times New Roman"/>
          <w:color w:val="000000"/>
          <w:sz w:val="28"/>
          <w:szCs w:val="28"/>
        </w:rPr>
      </w:pPr>
      <w:r>
        <w:rPr>
          <w:rStyle w:val="Style13"/>
          <w:rFonts w:cs="Times New Roman" w:ascii="Times New Roman" w:hAnsi="Times New Roman"/>
          <w:color w:val="000000"/>
          <w:sz w:val="28"/>
          <w:szCs w:val="28"/>
        </w:rPr>
        <w:t xml:space="preserve">В данной строке указываются доходы, которые не были отражены в вышеуказанных строках справки. </w:t>
      </w:r>
    </w:p>
    <w:p>
      <w:pPr>
        <w:pStyle w:val="Style22"/>
        <w:shd w:val="clear" w:color="auto" w:fill="auto"/>
        <w:tabs>
          <w:tab w:val="clear" w:pos="709"/>
          <w:tab w:val="left" w:pos="142" w:leader="none"/>
        </w:tabs>
        <w:spacing w:lineRule="auto" w:line="240" w:before="0" w:after="0"/>
        <w:ind w:firstLine="567"/>
        <w:rPr>
          <w:rStyle w:val="Style13"/>
          <w:rFonts w:ascii="Times New Roman" w:hAnsi="Times New Roman" w:cs="Times New Roman"/>
          <w:sz w:val="28"/>
          <w:szCs w:val="28"/>
        </w:rPr>
      </w:pPr>
      <w:r>
        <w:rPr>
          <w:rStyle w:val="Style13"/>
          <w:rFonts w:cs="Times New Roman" w:ascii="Times New Roman" w:hAnsi="Times New Roman"/>
          <w:sz w:val="28"/>
          <w:szCs w:val="28"/>
        </w:rPr>
        <w:t xml:space="preserve">Так, например, в строке </w:t>
      </w:r>
      <w:r>
        <w:rPr>
          <w:rStyle w:val="Style13"/>
          <w:rFonts w:cs="Times New Roman" w:ascii="Times New Roman" w:hAnsi="Times New Roman"/>
          <w:b/>
          <w:sz w:val="28"/>
          <w:szCs w:val="28"/>
        </w:rPr>
        <w:t>"Иные</w:t>
      </w:r>
      <w:r>
        <w:rPr>
          <w:rStyle w:val="Style13"/>
          <w:rFonts w:ascii="Times New Roman" w:hAnsi="Times New Roman"/>
          <w:b/>
          <w:sz w:val="28"/>
        </w:rPr>
        <w:t xml:space="preserve"> доходы</w:t>
      </w:r>
      <w:r>
        <w:rPr>
          <w:rStyle w:val="Style13"/>
          <w:rFonts w:cs="Times New Roman" w:ascii="Times New Roman" w:hAnsi="Times New Roman"/>
          <w:b/>
          <w:sz w:val="28"/>
          <w:szCs w:val="28"/>
        </w:rPr>
        <w:t>"</w:t>
      </w:r>
      <w:r>
        <w:rPr>
          <w:rStyle w:val="Style13"/>
          <w:rFonts w:cs="Times New Roman" w:ascii="Times New Roman" w:hAnsi="Times New Roman"/>
          <w:sz w:val="28"/>
          <w:szCs w:val="28"/>
        </w:rPr>
        <w:t xml:space="preserve"> могут быть указаны: </w:t>
      </w:r>
    </w:p>
    <w:p>
      <w:pPr>
        <w:pStyle w:val="Style22"/>
        <w:numPr>
          <w:ilvl w:val="0"/>
          <w:numId w:val="6"/>
        </w:numPr>
        <w:shd w:val="clear" w:color="auto" w:fill="auto"/>
        <w:tabs>
          <w:tab w:val="clear" w:pos="709"/>
          <w:tab w:val="left" w:pos="142" w:leader="none"/>
          <w:tab w:val="left" w:pos="1134" w:leader="none"/>
        </w:tabs>
        <w:spacing w:lineRule="auto" w:line="240" w:before="0" w:after="0"/>
        <w:ind w:left="0" w:firstLine="567"/>
        <w:rPr>
          <w:rStyle w:val="Style13"/>
          <w:rFonts w:ascii="Times New Roman" w:hAnsi="Times New Roman" w:cs="Times New Roman"/>
          <w:sz w:val="28"/>
          <w:szCs w:val="28"/>
        </w:rPr>
      </w:pPr>
      <w:r>
        <w:rPr>
          <w:rStyle w:val="Style13"/>
          <w:rFonts w:cs="Times New Roman" w:ascii="Times New Roman" w:hAnsi="Times New Roman"/>
          <w:sz w:val="28"/>
          <w:szCs w:val="28"/>
        </w:rPr>
        <w:t xml:space="preserve">государственная и негосударственная пенсии </w:t>
      </w:r>
      <w:r>
        <w:rPr>
          <w:rFonts w:cs="Times New Roman" w:ascii="Times New Roman" w:hAnsi="Times New Roman"/>
          <w:sz w:val="28"/>
          <w:szCs w:val="28"/>
        </w:rPr>
        <w:t>(при этом разные виды пенсий (по возрасту и пенсия военнослужащего) не следует суммировать)</w:t>
      </w:r>
      <w:r>
        <w:rPr>
          <w:rStyle w:val="Style13"/>
          <w:rFonts w:cs="Times New Roman" w:ascii="Times New Roman" w:hAnsi="Times New Roman"/>
          <w:sz w:val="28"/>
          <w:szCs w:val="28"/>
        </w:rPr>
        <w:t>;</w:t>
      </w:r>
    </w:p>
    <w:p>
      <w:pPr>
        <w:pStyle w:val="Style22"/>
        <w:numPr>
          <w:ilvl w:val="0"/>
          <w:numId w:val="6"/>
        </w:numPr>
        <w:shd w:val="clear" w:color="auto" w:fill="auto"/>
        <w:tabs>
          <w:tab w:val="clear" w:pos="709"/>
          <w:tab w:val="left" w:pos="142" w:leader="none"/>
          <w:tab w:val="left" w:pos="1134" w:leader="none"/>
        </w:tabs>
        <w:spacing w:lineRule="auto" w:line="240" w:before="0" w:after="0"/>
        <w:ind w:left="0" w:firstLine="567"/>
        <w:rPr>
          <w:rFonts w:ascii="Times New Roman" w:hAnsi="Times New Roman" w:cs="Times New Roman"/>
          <w:sz w:val="28"/>
          <w:szCs w:val="28"/>
        </w:rPr>
      </w:pPr>
      <w:r>
        <w:rPr>
          <w:rFonts w:cs="Times New Roman" w:ascii="Times New Roman" w:hAnsi="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 </w:t>
      </w:r>
    </w:p>
    <w:p>
      <w:pPr>
        <w:pStyle w:val="Default"/>
        <w:numPr>
          <w:ilvl w:val="0"/>
          <w:numId w:val="6"/>
        </w:numPr>
        <w:tabs>
          <w:tab w:val="clear" w:pos="709"/>
          <w:tab w:val="left" w:pos="142" w:leader="none"/>
          <w:tab w:val="left" w:pos="1134" w:leader="none"/>
        </w:tabs>
        <w:ind w:left="0" w:firstLine="567"/>
        <w:rPr>
          <w:color w:val="auto"/>
          <w:sz w:val="28"/>
          <w:szCs w:val="28"/>
        </w:rPr>
      </w:pPr>
      <w:r>
        <w:rPr>
          <w:rStyle w:val="Style13"/>
          <w:rFonts w:cs="Times New Roman"/>
          <w:sz w:val="28"/>
          <w:szCs w:val="28"/>
        </w:rPr>
        <w:t xml:space="preserve">все виды пособий (пособие </w:t>
      </w:r>
      <w:r>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Pr>
          <w:rStyle w:val="Style13"/>
          <w:rFonts w:cs="Times New Roman"/>
          <w:sz w:val="28"/>
          <w:szCs w:val="28"/>
        </w:rPr>
        <w:t xml:space="preserve"> и др.</w:t>
      </w:r>
      <w:r>
        <w:rPr>
          <w:color w:val="auto"/>
          <w:sz w:val="28"/>
          <w:szCs w:val="28"/>
        </w:rPr>
        <w:t xml:space="preserve">), если данные выплаты не были включены в Справку </w:t>
      </w:r>
      <w:r>
        <w:rPr>
          <w:sz w:val="28"/>
          <w:szCs w:val="28"/>
        </w:rPr>
        <w:t>о доходах и суммах налога физического лица</w:t>
      </w:r>
      <w:r>
        <w:rPr>
          <w:color w:val="auto"/>
          <w:sz w:val="28"/>
          <w:szCs w:val="28"/>
        </w:rPr>
        <w:t xml:space="preserve">, выдаваемую по месту службы (работы). </w:t>
      </w:r>
    </w:p>
    <w:p>
      <w:pPr>
        <w:pStyle w:val="Default"/>
        <w:tabs>
          <w:tab w:val="clear" w:pos="709"/>
          <w:tab w:val="left" w:pos="142" w:leader="none"/>
          <w:tab w:val="left" w:pos="1134" w:leader="none"/>
        </w:tabs>
        <w:ind w:firstLine="567"/>
        <w:rPr>
          <w:color w:val="auto"/>
          <w:sz w:val="28"/>
          <w:szCs w:val="28"/>
        </w:rPr>
      </w:pPr>
      <w:r>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Pr>
          <w:sz w:val="28"/>
          <w:szCs w:val="28"/>
        </w:rPr>
        <w:t>"</w:t>
      </w:r>
      <w:r>
        <w:rPr>
          <w:color w:val="auto"/>
          <w:sz w:val="28"/>
          <w:szCs w:val="28"/>
        </w:rPr>
        <w:t>Об обязательном социальном страховании на случай временной нетрудоспособности и в связи с материнством</w:t>
      </w:r>
      <w:r>
        <w:rPr>
          <w:sz w:val="28"/>
          <w:szCs w:val="28"/>
        </w:rPr>
        <w:t>"</w:t>
      </w:r>
      <w:r>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pPr>
        <w:pStyle w:val="Style22"/>
        <w:numPr>
          <w:ilvl w:val="0"/>
          <w:numId w:val="6"/>
        </w:numPr>
        <w:shd w:val="clear" w:color="auto" w:fill="auto"/>
        <w:tabs>
          <w:tab w:val="clear" w:pos="709"/>
          <w:tab w:val="left" w:pos="142" w:leader="none"/>
          <w:tab w:val="left" w:pos="1134" w:leader="none"/>
        </w:tabs>
        <w:spacing w:lineRule="auto" w:line="240" w:before="0" w:after="0"/>
        <w:ind w:left="0" w:firstLine="567"/>
        <w:rPr>
          <w:rStyle w:val="Style13"/>
          <w:rFonts w:ascii="Times New Roman" w:hAnsi="Times New Roman" w:cs="Times New Roman"/>
          <w:color w:val="000000"/>
          <w:sz w:val="28"/>
          <w:szCs w:val="28"/>
        </w:rPr>
      </w:pPr>
      <w:r>
        <w:rPr>
          <w:rFonts w:cs="Times New Roman" w:ascii="Times New Roman" w:hAnsi="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pPr>
        <w:pStyle w:val="Style22"/>
        <w:numPr>
          <w:ilvl w:val="0"/>
          <w:numId w:val="6"/>
        </w:numPr>
        <w:shd w:val="clear" w:color="auto" w:fill="auto"/>
        <w:tabs>
          <w:tab w:val="clear" w:pos="709"/>
          <w:tab w:val="left" w:pos="142" w:leader="none"/>
          <w:tab w:val="left" w:pos="1134" w:leader="none"/>
        </w:tabs>
        <w:spacing w:lineRule="auto" w:line="240" w:before="0" w:after="0"/>
        <w:ind w:left="0" w:firstLine="567"/>
        <w:rPr>
          <w:rStyle w:val="Style13"/>
          <w:rFonts w:ascii="Times New Roman" w:hAnsi="Times New Roman" w:cs="Times New Roman"/>
          <w:color w:val="000000"/>
          <w:sz w:val="28"/>
          <w:szCs w:val="28"/>
        </w:rPr>
      </w:pPr>
      <w:r>
        <w:rPr>
          <w:rStyle w:val="Style13"/>
          <w:rFonts w:cs="Times New Roman" w:ascii="Times New Roman" w:hAnsi="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40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строке </w:t>
      </w:r>
      <w:r>
        <w:rPr>
          <w:rStyle w:val="Style13"/>
          <w:rFonts w:ascii="Times New Roman" w:hAnsi="Times New Roman"/>
          <w:b/>
          <w:color w:val="000000"/>
          <w:sz w:val="28"/>
        </w:rPr>
        <w:t>"Иные доходы"</w:t>
      </w:r>
      <w:r>
        <w:rPr>
          <w:rStyle w:val="Style13"/>
          <w:rFonts w:cs="Times New Roman" w:ascii="Times New Roman" w:hAnsi="Times New Roman"/>
          <w:color w:val="000000"/>
          <w:sz w:val="28"/>
          <w:szCs w:val="28"/>
        </w:rPr>
        <w:t xml:space="preserve"> и в разделе 4 справки;</w:t>
      </w:r>
    </w:p>
    <w:p>
      <w:pPr>
        <w:pStyle w:val="Style22"/>
        <w:numPr>
          <w:ilvl w:val="0"/>
          <w:numId w:val="6"/>
        </w:numPr>
        <w:shd w:val="clear" w:color="auto" w:fill="auto"/>
        <w:tabs>
          <w:tab w:val="clear" w:pos="709"/>
          <w:tab w:val="left" w:pos="142" w:leader="none"/>
          <w:tab w:val="left" w:pos="1134" w:leader="none"/>
        </w:tabs>
        <w:spacing w:lineRule="auto" w:line="240" w:before="0" w:after="0"/>
        <w:ind w:left="0" w:firstLine="567"/>
        <w:rPr>
          <w:rStyle w:val="Style13"/>
          <w:rFonts w:ascii="Times New Roman" w:hAnsi="Times New Roman" w:cs="Times New Roman"/>
          <w:color w:val="000000"/>
          <w:sz w:val="28"/>
          <w:szCs w:val="28"/>
        </w:rPr>
      </w:pPr>
      <w:r>
        <w:rPr>
          <w:rStyle w:val="Style13"/>
          <w:rFonts w:cs="Times New Roman" w:ascii="Times New Roman" w:hAnsi="Times New Roman"/>
          <w:color w:val="000000"/>
          <w:sz w:val="28"/>
          <w:szCs w:val="28"/>
        </w:rPr>
        <w:t>стипендия;</w:t>
      </w:r>
    </w:p>
    <w:p>
      <w:pPr>
        <w:pStyle w:val="ListParagraph"/>
        <w:numPr>
          <w:ilvl w:val="0"/>
          <w:numId w:val="6"/>
        </w:numPr>
        <w:tabs>
          <w:tab w:val="clear" w:pos="709"/>
          <w:tab w:val="left" w:pos="142" w:leader="none"/>
          <w:tab w:val="left" w:pos="1134" w:leader="none"/>
        </w:tabs>
        <w:ind w:left="0" w:firstLine="567"/>
        <w:rPr>
          <w:rFonts w:ascii="Times New Roman" w:hAnsi="Times New Roman"/>
          <w:sz w:val="28"/>
          <w:szCs w:val="28"/>
        </w:rPr>
      </w:pPr>
      <w:r>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pPr>
        <w:pStyle w:val="Style22"/>
        <w:numPr>
          <w:ilvl w:val="0"/>
          <w:numId w:val="6"/>
        </w:numPr>
        <w:shd w:val="clear" w:color="auto" w:fill="auto"/>
        <w:tabs>
          <w:tab w:val="clear" w:pos="709"/>
          <w:tab w:val="left" w:pos="142" w:leader="none"/>
          <w:tab w:val="left" w:pos="1134" w:leader="none"/>
        </w:tabs>
        <w:spacing w:lineRule="auto" w:line="240" w:before="0" w:after="0"/>
        <w:ind w:left="0" w:firstLine="567"/>
        <w:rPr>
          <w:rStyle w:val="Style13"/>
          <w:rFonts w:ascii="Times New Roman" w:hAnsi="Times New Roman" w:cs="Times New Roman"/>
          <w:sz w:val="28"/>
          <w:szCs w:val="28"/>
        </w:rPr>
      </w:pPr>
      <w:r>
        <w:rPr>
          <w:rStyle w:val="Style13"/>
          <w:rFonts w:cs="Times New Roman" w:ascii="Times New Roman" w:hAnsi="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pPr>
        <w:pStyle w:val="Style22"/>
        <w:numPr>
          <w:ilvl w:val="0"/>
          <w:numId w:val="6"/>
        </w:numPr>
        <w:shd w:val="clear" w:color="auto" w:fill="auto"/>
        <w:tabs>
          <w:tab w:val="clear" w:pos="709"/>
          <w:tab w:val="left" w:pos="142" w:leader="none"/>
          <w:tab w:val="left" w:pos="1134" w:leader="none"/>
        </w:tabs>
        <w:spacing w:lineRule="auto" w:line="240" w:before="0" w:after="0"/>
        <w:ind w:left="0" w:firstLine="567"/>
        <w:rPr>
          <w:rStyle w:val="Style13"/>
          <w:rFonts w:ascii="Times New Roman" w:hAnsi="Times New Roman" w:cs="Times New Roman"/>
          <w:sz w:val="28"/>
          <w:szCs w:val="28"/>
          <w:shd w:fill="auto" w:val="clear"/>
        </w:rPr>
      </w:pPr>
      <w:r>
        <w:rPr>
          <w:rStyle w:val="Style13"/>
          <w:rFonts w:cs="Times New Roman" w:ascii="Times New Roman" w:hAnsi="Times New Roman"/>
          <w:color w:val="000000"/>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пунктом 40 Методических рекомендаций – при невозможности по объективным причинам представить Сведения на супругу (супруга) и (или) несовершеннолетних детей)). </w:t>
      </w:r>
    </w:p>
    <w:p>
      <w:pPr>
        <w:pStyle w:val="Style22"/>
        <w:shd w:val="clear" w:color="auto" w:fill="auto"/>
        <w:tabs>
          <w:tab w:val="clear" w:pos="709"/>
          <w:tab w:val="left" w:pos="142" w:leader="none"/>
          <w:tab w:val="left" w:pos="1134" w:leader="none"/>
        </w:tabs>
        <w:spacing w:lineRule="auto" w:line="240" w:before="0" w:after="0"/>
        <w:ind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Pr>
          <w:rStyle w:val="Style13"/>
          <w:rFonts w:cs="Times New Roman" w:ascii="Times New Roman" w:hAnsi="Times New Roman"/>
          <w:color w:val="000000"/>
          <w:sz w:val="28"/>
          <w:szCs w:val="28"/>
        </w:rPr>
        <w:t>Доход от реализации имущества указывается в полном объеме без вычета "комиссионных" и иных подобных выплат.</w:t>
      </w:r>
    </w:p>
    <w:p>
      <w:pPr>
        <w:pStyle w:val="Style22"/>
        <w:shd w:val="clear" w:color="auto" w:fill="auto"/>
        <w:tabs>
          <w:tab w:val="clear" w:pos="709"/>
          <w:tab w:val="left" w:pos="142" w:leader="none"/>
          <w:tab w:val="left" w:pos="1134" w:leader="none"/>
        </w:tabs>
        <w:spacing w:lineRule="auto" w:line="240" w:before="0" w:after="0"/>
        <w:ind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pPr>
        <w:pStyle w:val="Style22"/>
        <w:shd w:val="clear" w:color="auto" w:fill="auto"/>
        <w:tabs>
          <w:tab w:val="clear" w:pos="709"/>
          <w:tab w:val="left" w:pos="142" w:leader="none"/>
          <w:tab w:val="left" w:pos="1134" w:leader="none"/>
        </w:tabs>
        <w:spacing w:lineRule="auto" w:line="240" w:before="0" w:after="0"/>
        <w:ind w:firstLine="567"/>
        <w:rPr>
          <w:rFonts w:ascii="Times New Roman" w:hAnsi="Times New Roman" w:cs="Times New Roman"/>
          <w:sz w:val="28"/>
          <w:szCs w:val="28"/>
        </w:rPr>
      </w:pPr>
      <w:r>
        <w:rPr>
          <w:rStyle w:val="Style13"/>
          <w:rFonts w:cs="Times New Roman" w:ascii="Times New Roman" w:hAnsi="Times New Roman"/>
          <w:color w:val="000000"/>
          <w:sz w:val="28"/>
          <w:szCs w:val="28"/>
        </w:rPr>
        <w:t xml:space="preserve">При этом </w:t>
      </w:r>
      <w:r>
        <w:rPr>
          <w:rStyle w:val="Style13"/>
          <w:rFonts w:cs="Times New Roman" w:ascii="Times New Roman" w:hAnsi="Times New Roman"/>
          <w:sz w:val="28"/>
          <w:szCs w:val="28"/>
        </w:rPr>
        <w:t xml:space="preserve">рекомендуется </w:t>
      </w:r>
      <w:r>
        <w:rPr>
          <w:rStyle w:val="Style13"/>
          <w:rFonts w:cs="Times New Roman" w:ascii="Times New Roman" w:hAnsi="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Pr>
          <w:rFonts w:cs="Times New Roman" w:ascii="Times New Roman" w:hAnsi="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Pr>
          <w:rFonts w:ascii="Times New Roman" w:hAnsi="Times New Roman"/>
          <w:b/>
          <w:sz w:val="28"/>
        </w:rPr>
        <w:t>"Иные доходы"</w:t>
      </w:r>
      <w:r>
        <w:rPr>
          <w:rFonts w:cs="Times New Roman" w:ascii="Times New Roman" w:hAnsi="Times New Roman"/>
          <w:sz w:val="28"/>
          <w:szCs w:val="28"/>
        </w:rPr>
        <w:t>).</w:t>
      </w:r>
    </w:p>
    <w:p>
      <w:pPr>
        <w:pStyle w:val="Style22"/>
        <w:shd w:val="clear" w:color="auto" w:fill="auto"/>
        <w:tabs>
          <w:tab w:val="clear" w:pos="709"/>
          <w:tab w:val="left" w:pos="142" w:leader="none"/>
          <w:tab w:val="left" w:pos="1134" w:leader="none"/>
        </w:tabs>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pPr>
        <w:pStyle w:val="Style22"/>
        <w:shd w:val="clear" w:color="auto" w:fill="auto"/>
        <w:tabs>
          <w:tab w:val="clear" w:pos="709"/>
          <w:tab w:val="left" w:pos="142" w:leader="none"/>
          <w:tab w:val="left" w:pos="1134" w:leader="none"/>
        </w:tabs>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pPr>
        <w:pStyle w:val="Style22"/>
        <w:shd w:val="clear" w:color="auto" w:fill="auto"/>
        <w:tabs>
          <w:tab w:val="clear" w:pos="709"/>
          <w:tab w:val="left" w:pos="142" w:leader="none"/>
          <w:tab w:val="left" w:pos="1134" w:leader="none"/>
        </w:tabs>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Аналогично в отношении продажи имущества, находящегося в совместной собственности;</w:t>
      </w:r>
    </w:p>
    <w:p>
      <w:pPr>
        <w:pStyle w:val="Style22"/>
        <w:numPr>
          <w:ilvl w:val="0"/>
          <w:numId w:val="6"/>
        </w:numPr>
        <w:shd w:val="clear" w:color="auto" w:fill="auto"/>
        <w:tabs>
          <w:tab w:val="clear" w:pos="709"/>
          <w:tab w:val="left" w:pos="142" w:leader="none"/>
          <w:tab w:val="left" w:pos="710" w:leader="none"/>
        </w:tabs>
        <w:spacing w:lineRule="auto" w:line="240" w:before="0" w:after="0"/>
        <w:ind w:left="0" w:firstLine="567"/>
        <w:rPr>
          <w:rStyle w:val="Style13"/>
          <w:rFonts w:ascii="Times New Roman" w:hAnsi="Times New Roman" w:cs="Times New Roman"/>
          <w:sz w:val="28"/>
          <w:szCs w:val="28"/>
        </w:rPr>
      </w:pPr>
      <w:r>
        <w:rPr>
          <w:rStyle w:val="Style13"/>
          <w:rFonts w:cs="Times New Roman" w:ascii="Times New Roman" w:hAnsi="Times New Roman"/>
          <w:sz w:val="28"/>
          <w:szCs w:val="28"/>
          <w:shd w:fill="auto" w:val="clear"/>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pPr>
        <w:pStyle w:val="Style22"/>
        <w:numPr>
          <w:ilvl w:val="0"/>
          <w:numId w:val="6"/>
        </w:numPr>
        <w:shd w:val="clear" w:color="auto" w:fill="auto"/>
        <w:tabs>
          <w:tab w:val="clear" w:pos="709"/>
          <w:tab w:val="left" w:pos="142" w:leader="none"/>
          <w:tab w:val="left" w:pos="1134" w:leader="none"/>
        </w:tabs>
        <w:spacing w:lineRule="auto" w:line="240" w:before="0" w:after="0"/>
        <w:ind w:left="0" w:firstLine="567"/>
        <w:rPr>
          <w:rStyle w:val="111"/>
          <w:rFonts w:ascii="Times New Roman" w:hAnsi="Times New Roman"/>
          <w:sz w:val="28"/>
          <w:szCs w:val="28"/>
          <w:shd w:fill="FFFFFF" w:val="clear"/>
        </w:rPr>
      </w:pPr>
      <w:r>
        <w:rPr>
          <w:rStyle w:val="Style13"/>
          <w:rFonts w:cs="Times New Roman" w:ascii="Times New Roman" w:hAnsi="Times New Roman"/>
          <w:sz w:val="28"/>
          <w:szCs w:val="28"/>
        </w:rPr>
        <w:t xml:space="preserve">доходы по трудовым договорам по совместительству. </w:t>
      </w:r>
      <w:r>
        <w:rPr>
          <w:rStyle w:val="111"/>
          <w:rFonts w:ascii="Times New Roman" w:hAnsi="Times New Roman"/>
          <w:color w:val="000000"/>
          <w:sz w:val="28"/>
          <w:szCs w:val="28"/>
        </w:rPr>
        <w:t xml:space="preserve">При этом рекомендуется указать наименование и </w:t>
      </w:r>
      <w:r>
        <w:rPr>
          <w:rFonts w:cs="Times New Roman" w:ascii="Times New Roman" w:hAnsi="Times New Roman"/>
          <w:sz w:val="28"/>
          <w:szCs w:val="28"/>
        </w:rPr>
        <w:t xml:space="preserve">адрес места нахождения </w:t>
      </w:r>
      <w:r>
        <w:rPr>
          <w:rStyle w:val="111"/>
          <w:rFonts w:ascii="Times New Roman" w:hAnsi="Times New Roman"/>
          <w:color w:val="000000"/>
          <w:sz w:val="28"/>
          <w:szCs w:val="28"/>
        </w:rPr>
        <w:t xml:space="preserve">организации, от которой был получен доход; </w:t>
      </w:r>
    </w:p>
    <w:p>
      <w:pPr>
        <w:pStyle w:val="Style22"/>
        <w:numPr>
          <w:ilvl w:val="0"/>
          <w:numId w:val="6"/>
        </w:numPr>
        <w:shd w:val="clear" w:color="auto" w:fill="auto"/>
        <w:tabs>
          <w:tab w:val="clear" w:pos="709"/>
          <w:tab w:val="left" w:pos="142" w:leader="none"/>
          <w:tab w:val="left" w:pos="1134" w:leader="none"/>
        </w:tabs>
        <w:spacing w:lineRule="auto" w:line="240" w:before="0" w:after="0"/>
        <w:ind w:left="0" w:firstLine="567"/>
        <w:rPr>
          <w:rStyle w:val="111"/>
          <w:rFonts w:ascii="Times New Roman" w:hAnsi="Times New Roman"/>
          <w:sz w:val="28"/>
          <w:szCs w:val="28"/>
          <w:shd w:fill="FFFFFF" w:val="clear"/>
        </w:rPr>
      </w:pPr>
      <w:r>
        <w:rPr>
          <w:rStyle w:val="Style13"/>
          <w:rFonts w:cs="Times New Roman" w:ascii="Times New Roman" w:hAnsi="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Pr>
          <w:rStyle w:val="Style13"/>
          <w:rFonts w:ascii="Times New Roman" w:hAnsi="Times New Roman"/>
          <w:b/>
          <w:sz w:val="28"/>
        </w:rPr>
        <w:t>"Доход от ценных бумаг и долей участия в коммерческих организациях"</w:t>
      </w:r>
      <w:r>
        <w:rPr>
          <w:rStyle w:val="Style13"/>
          <w:rFonts w:cs="Times New Roman" w:ascii="Times New Roman" w:hAnsi="Times New Roman"/>
          <w:sz w:val="28"/>
          <w:szCs w:val="28"/>
        </w:rPr>
        <w:t>;</w:t>
      </w:r>
    </w:p>
    <w:p>
      <w:pPr>
        <w:pStyle w:val="Style22"/>
        <w:numPr>
          <w:ilvl w:val="0"/>
          <w:numId w:val="6"/>
        </w:numPr>
        <w:shd w:val="clear" w:color="auto" w:fill="auto"/>
        <w:tabs>
          <w:tab w:val="clear" w:pos="709"/>
          <w:tab w:val="left" w:pos="142" w:leader="none"/>
          <w:tab w:val="left" w:pos="1134" w:leader="none"/>
        </w:tabs>
        <w:spacing w:lineRule="auto" w:line="240" w:before="0" w:after="0"/>
        <w:ind w:left="0" w:firstLine="567"/>
        <w:rPr>
          <w:rStyle w:val="111"/>
          <w:rFonts w:ascii="Times New Roman" w:hAnsi="Times New Roman"/>
          <w:color w:val="000000"/>
          <w:sz w:val="28"/>
          <w:szCs w:val="28"/>
        </w:rPr>
      </w:pPr>
      <w:r>
        <w:rPr>
          <w:rStyle w:val="Style13"/>
          <w:rFonts w:cs="Times New Roman" w:ascii="Times New Roman" w:hAnsi="Times New Roman"/>
          <w:sz w:val="28"/>
          <w:szCs w:val="28"/>
        </w:rPr>
        <w:t xml:space="preserve">вознаграждения по гражданско-правовым договорам, если данный доход не указан в иных строках настоящего раздела справки. </w:t>
      </w:r>
      <w:r>
        <w:rPr>
          <w:rStyle w:val="111"/>
          <w:rFonts w:ascii="Times New Roman" w:hAnsi="Times New Roman"/>
          <w:color w:val="000000"/>
          <w:sz w:val="28"/>
          <w:szCs w:val="28"/>
        </w:rPr>
        <w:t xml:space="preserve">При этом рекомендуется указать наименование и </w:t>
      </w:r>
      <w:r>
        <w:rPr>
          <w:rFonts w:cs="Times New Roman" w:ascii="Times New Roman" w:hAnsi="Times New Roman"/>
          <w:sz w:val="28"/>
          <w:szCs w:val="28"/>
        </w:rPr>
        <w:t xml:space="preserve">место нахождения </w:t>
      </w:r>
      <w:r>
        <w:rPr>
          <w:rStyle w:val="111"/>
          <w:rFonts w:ascii="Times New Roman" w:hAnsi="Times New Roman"/>
          <w:color w:val="000000"/>
          <w:sz w:val="28"/>
          <w:szCs w:val="28"/>
        </w:rPr>
        <w:t xml:space="preserve">организации, от которой был получен доход, или </w:t>
      </w:r>
      <w:r>
        <w:rPr>
          <w:rFonts w:ascii="Times New Roman" w:hAnsi="Times New Roman"/>
          <w:sz w:val="28"/>
          <w:szCs w:val="28"/>
        </w:rPr>
        <w:t>фамилию, имя и отчество соответствующего лица</w:t>
      </w:r>
      <w:r>
        <w:rPr>
          <w:rStyle w:val="111"/>
          <w:rFonts w:ascii="Times New Roman" w:hAnsi="Times New Roman"/>
          <w:color w:val="000000"/>
          <w:sz w:val="28"/>
          <w:szCs w:val="28"/>
        </w:rPr>
        <w:t xml:space="preserve">; </w:t>
      </w:r>
    </w:p>
    <w:p>
      <w:pPr>
        <w:pStyle w:val="Style22"/>
        <w:numPr>
          <w:ilvl w:val="0"/>
          <w:numId w:val="6"/>
        </w:numPr>
        <w:shd w:val="clear" w:color="auto" w:fill="auto"/>
        <w:tabs>
          <w:tab w:val="clear" w:pos="709"/>
          <w:tab w:val="left" w:pos="142" w:leader="none"/>
          <w:tab w:val="left" w:pos="1134" w:leader="none"/>
        </w:tabs>
        <w:spacing w:lineRule="auto" w:line="240" w:before="0" w:after="0"/>
        <w:ind w:left="0" w:firstLine="567"/>
        <w:rPr>
          <w:rFonts w:ascii="Times New Roman" w:hAnsi="Times New Roman" w:cs="Times New Roman"/>
          <w:color w:val="000000"/>
          <w:sz w:val="28"/>
          <w:szCs w:val="28"/>
          <w:shd w:fill="FFFFFF" w:val="clear"/>
        </w:rPr>
      </w:pPr>
      <w:r>
        <w:rPr>
          <w:rFonts w:eastAsia="Times New Roman" w:cs="Times New Roman" w:ascii="Times New Roman" w:hAnsi="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Pr>
          <w:rFonts w:ascii="Times New Roman" w:hAnsi="Times New Roman"/>
          <w:b/>
          <w:sz w:val="28"/>
        </w:rPr>
        <w:t>"Иное недвижимое имущество"</w:t>
      </w:r>
      <w:r>
        <w:rPr>
          <w:rFonts w:eastAsia="Times New Roman" w:cs="Times New Roman" w:ascii="Times New Roman" w:hAnsi="Times New Roman"/>
          <w:sz w:val="28"/>
          <w:szCs w:val="28"/>
          <w:lang w:eastAsia="ru-RU"/>
        </w:rPr>
        <w:t xml:space="preserve"> подраздела 3.1 раздела 3 справки);</w:t>
      </w:r>
    </w:p>
    <w:p>
      <w:pPr>
        <w:pStyle w:val="Style22"/>
        <w:numPr>
          <w:ilvl w:val="0"/>
          <w:numId w:val="6"/>
        </w:numPr>
        <w:shd w:val="clear" w:color="auto" w:fill="auto"/>
        <w:tabs>
          <w:tab w:val="clear" w:pos="709"/>
          <w:tab w:val="left" w:pos="142" w:leader="none"/>
          <w:tab w:val="left" w:pos="1134" w:leader="none"/>
        </w:tabs>
        <w:spacing w:lineRule="auto" w:line="240" w:before="0" w:after="0"/>
        <w:ind w:left="0" w:firstLine="567"/>
        <w:rPr>
          <w:rStyle w:val="Style13"/>
          <w:rFonts w:ascii="Times New Roman" w:hAnsi="Times New Roman" w:cs="Times New Roman"/>
          <w:color w:val="000000"/>
          <w:sz w:val="28"/>
          <w:szCs w:val="28"/>
        </w:rPr>
      </w:pPr>
      <w:r>
        <w:rPr>
          <w:rFonts w:eastAsia="Times New Roman" w:cs="Times New Roman" w:ascii="Times New Roman" w:hAnsi="Times New Roman"/>
          <w:sz w:val="28"/>
          <w:szCs w:val="28"/>
          <w:lang w:eastAsia="ru-RU"/>
        </w:rPr>
        <w:t>проценты по долговым обязательствам;</w:t>
      </w:r>
    </w:p>
    <w:p>
      <w:pPr>
        <w:pStyle w:val="Style22"/>
        <w:numPr>
          <w:ilvl w:val="0"/>
          <w:numId w:val="6"/>
        </w:numPr>
        <w:shd w:val="clear" w:color="auto" w:fill="auto"/>
        <w:tabs>
          <w:tab w:val="clear" w:pos="709"/>
          <w:tab w:val="left" w:pos="142" w:leader="none"/>
          <w:tab w:val="left" w:pos="1134" w:leader="none"/>
        </w:tabs>
        <w:spacing w:lineRule="auto" w:line="240" w:before="0" w:after="0"/>
        <w:ind w:left="0" w:firstLine="567"/>
        <w:rPr>
          <w:rFonts w:ascii="Times New Roman" w:hAnsi="Times New Roman" w:cs="Times New Roman"/>
          <w:sz w:val="28"/>
          <w:szCs w:val="28"/>
        </w:rPr>
      </w:pPr>
      <w:r>
        <w:rPr>
          <w:rFonts w:cs="Times New Roman" w:ascii="Times New Roman" w:hAnsi="Times New Roman"/>
          <w:sz w:val="28"/>
          <w:szCs w:val="28"/>
        </w:rPr>
        <w:t>денежные средства, полученные в порядке дарения или наследования. При этом рекомендуется указать</w:t>
      </w:r>
      <w:r>
        <w:rPr>
          <w:rStyle w:val="111"/>
          <w:rFonts w:ascii="Times New Roman" w:hAnsi="Times New Roman"/>
          <w:color w:val="000000"/>
          <w:sz w:val="28"/>
          <w:szCs w:val="28"/>
        </w:rPr>
        <w:t xml:space="preserve"> </w:t>
      </w:r>
      <w:r>
        <w:rPr>
          <w:rFonts w:ascii="Times New Roman" w:hAnsi="Times New Roman"/>
          <w:sz w:val="28"/>
          <w:szCs w:val="28"/>
        </w:rPr>
        <w:t>фамилию, имя и отчество соответствующего дарителя или наследодателя соответственно</w:t>
      </w:r>
      <w:r>
        <w:rPr>
          <w:rFonts w:cs="Times New Roman" w:ascii="Times New Roman" w:hAnsi="Times New Roman"/>
          <w:sz w:val="28"/>
          <w:szCs w:val="28"/>
        </w:rPr>
        <w:t>;</w:t>
      </w:r>
    </w:p>
    <w:p>
      <w:pPr>
        <w:pStyle w:val="Default"/>
        <w:numPr>
          <w:ilvl w:val="0"/>
          <w:numId w:val="6"/>
        </w:numPr>
        <w:tabs>
          <w:tab w:val="clear" w:pos="709"/>
          <w:tab w:val="left" w:pos="142" w:leader="none"/>
          <w:tab w:val="left" w:pos="1134" w:leader="none"/>
          <w:tab w:val="left" w:pos="1560" w:leader="none"/>
        </w:tabs>
        <w:ind w:left="0" w:firstLine="567"/>
        <w:rPr>
          <w:sz w:val="28"/>
          <w:szCs w:val="28"/>
        </w:rPr>
      </w:pPr>
      <w:r>
        <w:rPr>
          <w:sz w:val="28"/>
          <w:szCs w:val="28"/>
        </w:rPr>
        <w:t xml:space="preserve">возмещение вреда, причиненного увечьем или иным повреждением здоровья; </w:t>
      </w:r>
    </w:p>
    <w:p>
      <w:pPr>
        <w:pStyle w:val="Default"/>
        <w:numPr>
          <w:ilvl w:val="0"/>
          <w:numId w:val="6"/>
        </w:numPr>
        <w:tabs>
          <w:tab w:val="clear" w:pos="709"/>
          <w:tab w:val="left" w:pos="142" w:leader="none"/>
          <w:tab w:val="left" w:pos="1134" w:leader="none"/>
          <w:tab w:val="left" w:pos="1560" w:leader="none"/>
        </w:tabs>
        <w:ind w:left="0" w:firstLine="567"/>
        <w:rPr>
          <w:sz w:val="28"/>
          <w:szCs w:val="28"/>
        </w:rPr>
      </w:pPr>
      <w:r>
        <w:rPr>
          <w:sz w:val="28"/>
          <w:szCs w:val="28"/>
        </w:rPr>
        <w:t xml:space="preserve">выплаты, связанные с гибелью (смертью), выплаченные наследникам; </w:t>
      </w:r>
    </w:p>
    <w:p>
      <w:pPr>
        <w:pStyle w:val="ListParagraph"/>
        <w:numPr>
          <w:ilvl w:val="0"/>
          <w:numId w:val="6"/>
        </w:numPr>
        <w:tabs>
          <w:tab w:val="clear" w:pos="709"/>
          <w:tab w:val="left" w:pos="142" w:leader="none"/>
          <w:tab w:val="left" w:pos="1134" w:leader="none"/>
          <w:tab w:val="left" w:pos="1560" w:leader="none"/>
        </w:tabs>
        <w:ind w:left="0" w:firstLine="567"/>
        <w:rPr>
          <w:rFonts w:ascii="Times New Roman" w:hAnsi="Times New Roman"/>
          <w:sz w:val="28"/>
          <w:szCs w:val="28"/>
        </w:rPr>
      </w:pPr>
      <w:r>
        <w:rPr>
          <w:rFonts w:ascii="Times New Roman" w:hAnsi="Times New Roman"/>
          <w:sz w:val="28"/>
          <w:szCs w:val="28"/>
        </w:rPr>
        <w:t>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212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pPr>
        <w:pStyle w:val="Default"/>
        <w:numPr>
          <w:ilvl w:val="0"/>
          <w:numId w:val="6"/>
        </w:numPr>
        <w:tabs>
          <w:tab w:val="clear" w:pos="709"/>
          <w:tab w:val="left" w:pos="142" w:leader="none"/>
          <w:tab w:val="left" w:pos="1134" w:leader="none"/>
          <w:tab w:val="left" w:pos="1560" w:leader="none"/>
        </w:tabs>
        <w:ind w:left="0" w:firstLine="567"/>
        <w:rPr>
          <w:color w:val="auto"/>
          <w:sz w:val="28"/>
          <w:szCs w:val="28"/>
        </w:rPr>
      </w:pPr>
      <w:r>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Справку </w:t>
      </w:r>
      <w:r>
        <w:rPr>
          <w:sz w:val="28"/>
          <w:szCs w:val="28"/>
        </w:rPr>
        <w:t>о доходах и суммах налога физического лица</w:t>
      </w:r>
      <w:r>
        <w:rPr>
          <w:sz w:val="28"/>
        </w:rPr>
        <w:t xml:space="preserve"> </w:t>
      </w:r>
      <w:r>
        <w:rPr>
          <w:color w:val="auto"/>
          <w:sz w:val="28"/>
          <w:szCs w:val="28"/>
        </w:rPr>
        <w:t xml:space="preserve">по месту службы (работы) и не отражены в строке </w:t>
      </w:r>
      <w:r>
        <w:rPr>
          <w:b/>
          <w:color w:val="auto"/>
          <w:sz w:val="28"/>
        </w:rPr>
        <w:t>"Доход по основному месту работы"</w:t>
      </w:r>
      <w:r>
        <w:rPr>
          <w:color w:val="auto"/>
          <w:sz w:val="28"/>
          <w:szCs w:val="28"/>
        </w:rPr>
        <w:t xml:space="preserve">; </w:t>
      </w:r>
    </w:p>
    <w:p>
      <w:pPr>
        <w:pStyle w:val="ListParagraph"/>
        <w:numPr>
          <w:ilvl w:val="0"/>
          <w:numId w:val="6"/>
        </w:numPr>
        <w:tabs>
          <w:tab w:val="clear" w:pos="709"/>
          <w:tab w:val="left" w:pos="142" w:leader="none"/>
          <w:tab w:val="left" w:pos="1134" w:leader="none"/>
        </w:tabs>
        <w:ind w:left="0" w:firstLine="567"/>
        <w:rPr>
          <w:rFonts w:ascii="Times New Roman" w:hAnsi="Times New Roman" w:eastAsia="Times New Roman"/>
          <w:sz w:val="28"/>
          <w:szCs w:val="28"/>
        </w:rPr>
      </w:pPr>
      <w:r>
        <w:rPr>
          <w:rFonts w:eastAsia="Times New Roman" w:ascii="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pPr>
        <w:pStyle w:val="Default"/>
        <w:numPr>
          <w:ilvl w:val="0"/>
          <w:numId w:val="6"/>
        </w:numPr>
        <w:tabs>
          <w:tab w:val="clear" w:pos="709"/>
          <w:tab w:val="left" w:pos="142" w:leader="none"/>
          <w:tab w:val="left" w:pos="1134" w:leader="none"/>
        </w:tabs>
        <w:ind w:left="0" w:firstLine="567"/>
        <w:rPr>
          <w:sz w:val="28"/>
          <w:szCs w:val="28"/>
        </w:rPr>
      </w:pPr>
      <w:r>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pPr>
        <w:pStyle w:val="Default"/>
        <w:numPr>
          <w:ilvl w:val="0"/>
          <w:numId w:val="6"/>
        </w:numPr>
        <w:tabs>
          <w:tab w:val="clear" w:pos="709"/>
          <w:tab w:val="left" w:pos="142" w:leader="none"/>
          <w:tab w:val="left" w:pos="1134" w:leader="none"/>
        </w:tabs>
        <w:ind w:left="0" w:firstLine="567"/>
        <w:rPr>
          <w:sz w:val="28"/>
          <w:szCs w:val="28"/>
        </w:rPr>
      </w:pPr>
      <w:r>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pPr>
        <w:pStyle w:val="ListParagraph"/>
        <w:numPr>
          <w:ilvl w:val="0"/>
          <w:numId w:val="6"/>
        </w:numPr>
        <w:ind w:left="0" w:firstLine="567"/>
        <w:rPr>
          <w:rFonts w:ascii="Times New Roman" w:hAnsi="Times New Roman"/>
          <w:sz w:val="28"/>
          <w:szCs w:val="28"/>
        </w:rPr>
      </w:pPr>
      <w:r>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pPr>
        <w:pStyle w:val="Style22"/>
        <w:numPr>
          <w:ilvl w:val="0"/>
          <w:numId w:val="6"/>
        </w:numPr>
        <w:shd w:val="clear" w:color="auto" w:fill="auto"/>
        <w:tabs>
          <w:tab w:val="clear" w:pos="709"/>
          <w:tab w:val="left" w:pos="142" w:leader="none"/>
          <w:tab w:val="left" w:pos="1276" w:leader="none"/>
        </w:tabs>
        <w:spacing w:lineRule="auto" w:line="240" w:before="0" w:after="0"/>
        <w:ind w:left="0" w:firstLine="567"/>
        <w:rPr>
          <w:rStyle w:val="Style13"/>
          <w:rFonts w:ascii="Times New Roman" w:hAnsi="Times New Roman" w:cs="Times New Roman"/>
          <w:color w:val="000000"/>
          <w:sz w:val="28"/>
          <w:szCs w:val="28"/>
        </w:rPr>
      </w:pPr>
      <w:r>
        <w:rPr>
          <w:rStyle w:val="Style13"/>
          <w:rFonts w:cs="Times New Roman" w:ascii="Times New Roman" w:hAnsi="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pPr>
        <w:pStyle w:val="Style22"/>
        <w:numPr>
          <w:ilvl w:val="0"/>
          <w:numId w:val="6"/>
        </w:numPr>
        <w:shd w:val="clear" w:color="auto" w:fill="auto"/>
        <w:tabs>
          <w:tab w:val="clear" w:pos="709"/>
          <w:tab w:val="left" w:pos="851" w:leader="none"/>
          <w:tab w:val="left" w:pos="1134" w:leader="none"/>
        </w:tabs>
        <w:spacing w:lineRule="auto" w:line="240" w:before="0" w:after="0"/>
        <w:ind w:left="0" w:firstLine="567"/>
        <w:rPr>
          <w:rFonts w:ascii="Times New Roman" w:hAnsi="Times New Roman" w:cs="Times New Roman"/>
          <w:color w:val="000000"/>
          <w:sz w:val="28"/>
          <w:szCs w:val="28"/>
          <w:shd w:fill="FFFFFF" w:val="clear"/>
        </w:rPr>
      </w:pPr>
      <w:r>
        <w:rPr>
          <w:rFonts w:cs="Times New Roman" w:ascii="Times New Roman" w:hAnsi="Times New Roman"/>
          <w:sz w:val="28"/>
          <w:szCs w:val="28"/>
        </w:rPr>
        <w:t>выплаты членам профсоюзных организаций, полученные от данных профсоюзных организаций;</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Pr>
          <w:rFonts w:ascii="Times New Roman" w:hAnsi="Times New Roman"/>
          <w:b/>
          <w:sz w:val="28"/>
        </w:rPr>
        <w:t>"Доход от педагогической и научной деятельности</w:t>
      </w:r>
      <w:r>
        <w:rPr>
          <w:rFonts w:eastAsia="Times New Roman" w:ascii="Times New Roman" w:hAnsi="Times New Roman"/>
          <w:b/>
          <w:sz w:val="28"/>
          <w:szCs w:val="28"/>
          <w:lang w:eastAsia="ru-RU"/>
        </w:rPr>
        <w:t>"</w:t>
      </w:r>
      <w:r>
        <w:rPr>
          <w:rFonts w:ascii="Times New Roman" w:hAnsi="Times New Roman"/>
          <w:sz w:val="28"/>
          <w:szCs w:val="28"/>
        </w:rPr>
        <w:t xml:space="preserve">, результаты иной творческой деятельности – в строке </w:t>
      </w:r>
      <w:r>
        <w:rPr>
          <w:rFonts w:ascii="Times New Roman" w:hAnsi="Times New Roman"/>
          <w:b/>
          <w:sz w:val="28"/>
        </w:rPr>
        <w:t>"Доход от иной творческой деятельности</w:t>
      </w:r>
      <w:r>
        <w:rPr>
          <w:rFonts w:eastAsia="Times New Roman" w:ascii="Times New Roman" w:hAnsi="Times New Roman"/>
          <w:b/>
          <w:sz w:val="28"/>
          <w:szCs w:val="28"/>
          <w:lang w:eastAsia="ru-RU"/>
        </w:rPr>
        <w:t>"</w:t>
      </w:r>
      <w:r>
        <w:rPr>
          <w:rFonts w:ascii="Times New Roman" w:hAnsi="Times New Roman"/>
          <w:sz w:val="28"/>
          <w:szCs w:val="28"/>
        </w:rPr>
        <w:t>;</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вознаграждение, полученное при осуществлении опеки или попечительства на возмездной основе;</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 или в соответствии с пунктом 60 настоящих Методических рекомендаций);</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о доходах и суммах налога физического лица, полученную по основному месту службы (работы);</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Pr>
          <w:rStyle w:val="Style13"/>
          <w:rFonts w:cs="Times New Roman" w:ascii="Times New Roman" w:hAnsi="Times New Roman"/>
          <w:color w:val="000000"/>
          <w:sz w:val="28"/>
          <w:szCs w:val="28"/>
        </w:rPr>
        <w:t xml:space="preserve"> кроме случая, предусмотренного пунктом 40 Методических рекомендаций – при невозможности по объективным причинам представить Сведения на супругу (супруга) и (или) несовершеннолетних детей</w:t>
      </w:r>
      <w:r>
        <w:rPr>
          <w:rFonts w:ascii="Times New Roman" w:hAnsi="Times New Roman"/>
          <w:sz w:val="28"/>
          <w:szCs w:val="28"/>
        </w:rPr>
        <w:t>) и третьих лиц на невозвратной основе;</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доход, полученный по договорам переуступки прав требования на строящиеся объекты недвижимости;</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выплаченная ликвидационная стоимость ценных бумаг при ликвидации коммерческой организации;</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иные аналогичные выплаты.</w:t>
      </w:r>
    </w:p>
    <w:p>
      <w:pPr>
        <w:pStyle w:val="ListParagraph"/>
        <w:numPr>
          <w:ilvl w:val="0"/>
          <w:numId w:val="1"/>
        </w:numPr>
        <w:ind w:left="0" w:firstLine="567"/>
        <w:rPr>
          <w:rFonts w:ascii="Times New Roman" w:hAnsi="Times New Roman" w:eastAsia="Times New Roman"/>
          <w:sz w:val="28"/>
          <w:szCs w:val="28"/>
        </w:rPr>
      </w:pPr>
      <w:r>
        <w:rPr>
          <w:rFonts w:eastAsia="Times New Roman" w:ascii="Times New Roman" w:hAnsi="Times New Roman"/>
          <w:sz w:val="28"/>
          <w:szCs w:val="28"/>
          <w:lang w:eastAsia="ru-RU"/>
        </w:rPr>
        <w:t xml:space="preserve">Также в строке </w:t>
      </w:r>
      <w:r>
        <w:rPr>
          <w:rFonts w:ascii="Times New Roman" w:hAnsi="Times New Roman"/>
          <w:b/>
          <w:sz w:val="28"/>
        </w:rPr>
        <w:t xml:space="preserve">"Иные доходы" </w:t>
      </w:r>
      <w:r>
        <w:rPr>
          <w:rFonts w:eastAsia="Times New Roman" w:ascii="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pPr>
        <w:pStyle w:val="Normal"/>
        <w:ind w:firstLine="567"/>
        <w:rPr>
          <w:rFonts w:ascii="Times New Roman" w:hAnsi="Times New Roman" w:eastAsia="Times New Roman"/>
          <w:sz w:val="28"/>
          <w:szCs w:val="28"/>
        </w:rPr>
      </w:pPr>
      <w:r>
        <w:rPr>
          <w:rFonts w:eastAsia="Times New Roman" w:ascii="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pPr>
        <w:pStyle w:val="ListParagraph"/>
        <w:numPr>
          <w:ilvl w:val="0"/>
          <w:numId w:val="1"/>
        </w:numPr>
        <w:ind w:left="0" w:firstLine="567"/>
        <w:rPr>
          <w:rFonts w:ascii="Times New Roman" w:hAnsi="Times New Roman" w:eastAsia="Times New Roman"/>
          <w:sz w:val="28"/>
          <w:szCs w:val="28"/>
        </w:rPr>
      </w:pPr>
      <w:r>
        <w:rPr>
          <w:rFonts w:eastAsia="Times New Roman" w:ascii="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 (с учетом положений пункта 54 настоящих Методических рекомендаций).</w:t>
      </w:r>
      <w:r>
        <w:rPr>
          <w:rFonts w:ascii="Times New Roman" w:hAnsi="Times New Roman"/>
          <w:sz w:val="28"/>
          <w:szCs w:val="28"/>
        </w:rPr>
        <w:t xml:space="preserve"> </w:t>
      </w:r>
      <w:r>
        <w:rPr>
          <w:rFonts w:eastAsia="Times New Roman" w:ascii="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пункта 54 настоящих Методических рекомендаций).</w:t>
      </w:r>
    </w:p>
    <w:p>
      <w:pPr>
        <w:pStyle w:val="ListParagraph"/>
        <w:numPr>
          <w:ilvl w:val="0"/>
          <w:numId w:val="1"/>
        </w:numPr>
        <w:ind w:left="0" w:firstLine="567"/>
        <w:rPr>
          <w:rFonts w:ascii="Times New Roman" w:hAnsi="Times New Roman" w:eastAsia="Times New Roman"/>
          <w:sz w:val="28"/>
          <w:szCs w:val="28"/>
        </w:rPr>
      </w:pPr>
      <w:r>
        <w:rPr>
          <w:rFonts w:eastAsia="Times New Roman" w:ascii="Times New Roman" w:hAnsi="Times New Roman"/>
          <w:sz w:val="28"/>
          <w:szCs w:val="28"/>
          <w:lang w:eastAsia="ru-RU"/>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pPr>
        <w:pStyle w:val="ListParagraph"/>
        <w:numPr>
          <w:ilvl w:val="0"/>
          <w:numId w:val="1"/>
        </w:numPr>
        <w:ind w:left="0" w:firstLine="567"/>
        <w:rPr>
          <w:rFonts w:ascii="Times New Roman" w:hAnsi="Times New Roman"/>
          <w:sz w:val="28"/>
          <w:szCs w:val="28"/>
        </w:rPr>
      </w:pPr>
      <w:r>
        <w:rPr>
          <w:rFonts w:eastAsia="Times New Roman" w:ascii="Times New Roman" w:hAnsi="Times New Roman"/>
          <w:sz w:val="28"/>
          <w:szCs w:val="28"/>
          <w:lang w:eastAsia="ru-RU"/>
        </w:rPr>
        <w:t>С учетом целей антико</w:t>
      </w:r>
      <w:r>
        <w:rPr>
          <w:rFonts w:eastAsia="Times New Roman" w:ascii="Times New Roman" w:hAnsi="Times New Roman"/>
          <w:color w:val="000000"/>
          <w:sz w:val="28"/>
          <w:szCs w:val="28"/>
          <w:lang w:eastAsia="ru-RU"/>
        </w:rPr>
        <w:t>р</w:t>
      </w:r>
      <w:r>
        <w:rPr>
          <w:rFonts w:eastAsia="Times New Roman" w:ascii="Times New Roman" w:hAnsi="Times New Roman"/>
          <w:sz w:val="28"/>
          <w:szCs w:val="28"/>
          <w:lang w:eastAsia="ru-RU"/>
        </w:rPr>
        <w:t xml:space="preserve">рупционного законодательства в строке </w:t>
      </w:r>
      <w:r>
        <w:rPr>
          <w:rFonts w:ascii="Times New Roman" w:hAnsi="Times New Roman"/>
          <w:b/>
          <w:sz w:val="28"/>
        </w:rPr>
        <w:t>"Иные доходы"</w:t>
      </w:r>
      <w:r>
        <w:rPr>
          <w:rFonts w:eastAsia="Times New Roman" w:ascii="Times New Roman" w:hAnsi="Times New Roman"/>
          <w:b/>
          <w:sz w:val="28"/>
          <w:szCs w:val="28"/>
          <w:lang w:eastAsia="ru-RU"/>
        </w:rPr>
        <w:t xml:space="preserve"> не указываются </w:t>
      </w:r>
      <w:r>
        <w:rPr>
          <w:rFonts w:eastAsia="Times New Roman" w:ascii="Times New Roman" w:hAnsi="Times New Roman"/>
          <w:sz w:val="28"/>
          <w:szCs w:val="28"/>
          <w:lang w:eastAsia="ru-RU"/>
        </w:rPr>
        <w:t xml:space="preserve">сведения о денежных средствах, касающихся </w:t>
      </w:r>
      <w:r>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pPr>
        <w:pStyle w:val="Normal"/>
        <w:ind w:firstLine="567"/>
        <w:rPr>
          <w:rFonts w:ascii="Times New Roman" w:hAnsi="Times New Roman"/>
          <w:sz w:val="28"/>
          <w:szCs w:val="28"/>
        </w:rPr>
      </w:pPr>
      <w:r>
        <w:rPr>
          <w:rFonts w:ascii="Times New Roman" w:hAnsi="Times New Roman"/>
          <w:sz w:val="28"/>
          <w:szCs w:val="28"/>
        </w:rPr>
        <w:t>1) со служебными командировками за счет средств работодателя;</w:t>
      </w:r>
    </w:p>
    <w:p>
      <w:pPr>
        <w:pStyle w:val="Normal"/>
        <w:ind w:firstLine="567"/>
        <w:rPr>
          <w:rFonts w:ascii="Times New Roman" w:hAnsi="Times New Roman"/>
          <w:sz w:val="28"/>
          <w:szCs w:val="28"/>
        </w:rPr>
      </w:pPr>
      <w:r>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pPr>
        <w:pStyle w:val="Normal"/>
        <w:ind w:firstLine="567"/>
        <w:rPr>
          <w:rFonts w:ascii="Times New Roman" w:hAnsi="Times New Roman"/>
          <w:sz w:val="28"/>
          <w:szCs w:val="28"/>
        </w:rPr>
      </w:pPr>
      <w:r>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pPr>
        <w:pStyle w:val="Normal"/>
        <w:ind w:firstLine="567"/>
        <w:rPr>
          <w:rFonts w:ascii="Times New Roman" w:hAnsi="Times New Roman"/>
          <w:sz w:val="28"/>
          <w:szCs w:val="28"/>
        </w:rPr>
      </w:pPr>
      <w:r>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pPr>
        <w:pStyle w:val="Normal"/>
        <w:ind w:firstLine="567"/>
        <w:rPr>
          <w:rFonts w:ascii="Times New Roman" w:hAnsi="Times New Roman"/>
          <w:sz w:val="28"/>
          <w:szCs w:val="28"/>
        </w:rPr>
      </w:pPr>
      <w:r>
        <w:rPr>
          <w:rFonts w:ascii="Times New Roman" w:hAnsi="Times New Roman"/>
          <w:sz w:val="28"/>
          <w:szCs w:val="28"/>
        </w:rPr>
        <w:t>5) с приобретением проездных документов для исполнения служебных (должностных) обязанностей;</w:t>
      </w:r>
    </w:p>
    <w:p>
      <w:pPr>
        <w:pStyle w:val="Normal"/>
        <w:ind w:firstLine="567"/>
        <w:rPr>
          <w:rFonts w:ascii="Times New Roman" w:hAnsi="Times New Roman"/>
          <w:sz w:val="28"/>
          <w:szCs w:val="28"/>
        </w:rPr>
      </w:pPr>
      <w:r>
        <w:rPr>
          <w:rFonts w:ascii="Times New Roman" w:hAnsi="Times New Roman"/>
          <w:sz w:val="28"/>
          <w:szCs w:val="28"/>
        </w:rPr>
        <w:t>6) с оплатой коммунальных и иных услуг, наймом жилого помещения;</w:t>
      </w:r>
    </w:p>
    <w:p>
      <w:pPr>
        <w:pStyle w:val="Normal"/>
        <w:ind w:firstLine="567"/>
        <w:rPr>
          <w:rFonts w:ascii="Times New Roman" w:hAnsi="Times New Roman"/>
          <w:sz w:val="28"/>
          <w:szCs w:val="28"/>
        </w:rPr>
      </w:pPr>
      <w:r>
        <w:rPr>
          <w:rFonts w:ascii="Times New Roman" w:hAnsi="Times New Roman"/>
          <w:sz w:val="28"/>
          <w:szCs w:val="28"/>
        </w:rPr>
        <w:t>7) с внесением родительской платы за посещение дошкольного образовательного учреждения;</w:t>
      </w:r>
    </w:p>
    <w:p>
      <w:pPr>
        <w:pStyle w:val="Normal"/>
        <w:ind w:firstLine="567"/>
        <w:rPr>
          <w:rFonts w:ascii="Times New Roman" w:hAnsi="Times New Roman"/>
          <w:sz w:val="28"/>
          <w:szCs w:val="28"/>
        </w:rPr>
      </w:pPr>
      <w:r>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pPr>
        <w:pStyle w:val="ListParagraph"/>
        <w:numPr>
          <w:ilvl w:val="0"/>
          <w:numId w:val="1"/>
        </w:numPr>
        <w:ind w:left="0" w:firstLine="567"/>
        <w:rPr>
          <w:rFonts w:ascii="Times New Roman" w:hAnsi="Times New Roman"/>
          <w:sz w:val="28"/>
          <w:szCs w:val="28"/>
          <w:lang w:eastAsia="ru-RU"/>
        </w:rPr>
      </w:pPr>
      <w:r>
        <w:rPr>
          <w:rFonts w:ascii="Times New Roman" w:hAnsi="Times New Roman"/>
          <w:sz w:val="28"/>
          <w:szCs w:val="28"/>
        </w:rPr>
        <w:t xml:space="preserve">Не указываются денежные средства, полученные в качестве компенсации, возмещения расходов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w:t>
      </w:r>
      <w:r>
        <w:rPr>
          <w:rFonts w:ascii="Times New Roman" w:hAnsi="Times New Roman"/>
          <w:sz w:val="28"/>
          <w:szCs w:val="28"/>
          <w:lang w:eastAsia="ru-RU"/>
        </w:rPr>
        <w:t>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Также не указываются сведения о денежных средствах, полученных:</w:t>
      </w:r>
    </w:p>
    <w:p>
      <w:pPr>
        <w:pStyle w:val="Normal"/>
        <w:ind w:firstLine="567"/>
        <w:rPr>
          <w:rFonts w:ascii="Times New Roman" w:hAnsi="Times New Roman"/>
          <w:sz w:val="28"/>
          <w:szCs w:val="28"/>
        </w:rPr>
      </w:pPr>
      <w:r>
        <w:rPr>
          <w:rFonts w:ascii="Times New Roman" w:hAnsi="Times New Roman"/>
          <w:sz w:val="28"/>
          <w:szCs w:val="28"/>
        </w:rPr>
        <w:t>1) в виде социального, имущественного, инвестиционного налогового вычета;</w:t>
      </w:r>
    </w:p>
    <w:p>
      <w:pPr>
        <w:pStyle w:val="Normal"/>
        <w:ind w:firstLine="567"/>
        <w:rPr>
          <w:rFonts w:ascii="Times New Roman" w:hAnsi="Times New Roman"/>
          <w:sz w:val="28"/>
          <w:szCs w:val="28"/>
        </w:rPr>
      </w:pPr>
      <w:r>
        <w:rPr>
          <w:rFonts w:ascii="Times New Roman" w:hAnsi="Times New Roman"/>
          <w:sz w:val="28"/>
          <w:szCs w:val="28"/>
        </w:rPr>
        <w:t>2) от продажи различного вида подарочных сертификатов (карт), выпущенных предприятиями торговли, салонами красоты и пр.;</w:t>
      </w:r>
    </w:p>
    <w:p>
      <w:pPr>
        <w:pStyle w:val="Normal"/>
        <w:ind w:firstLine="567"/>
        <w:rPr>
          <w:rFonts w:ascii="Times New Roman" w:hAnsi="Times New Roman"/>
          <w:sz w:val="28"/>
          <w:szCs w:val="28"/>
        </w:rPr>
      </w:pPr>
      <w:r>
        <w:rPr>
          <w:rFonts w:ascii="Times New Roman" w:hAnsi="Times New Roman"/>
          <w:sz w:val="28"/>
          <w:szCs w:val="28"/>
        </w:rPr>
        <w:t>3) </w:t>
      </w:r>
      <w:r>
        <w:rPr>
          <w:rFonts w:ascii="Times New Roman" w:hAnsi="Times New Roman"/>
          <w:color w:val="000000"/>
          <w:sz w:val="28"/>
          <w:szCs w:val="28"/>
        </w:rPr>
        <w:t>в качестве бонусных баллов</w:t>
      </w:r>
      <w:r>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Pr>
          <w:rFonts w:ascii="Times New Roman" w:hAnsi="Times New Roman"/>
          <w:color w:val="000000"/>
          <w:sz w:val="28"/>
          <w:szCs w:val="28"/>
        </w:rPr>
        <w:t>(</w:t>
      </w:r>
      <w:r>
        <w:rPr>
          <w:rFonts w:ascii="Times New Roman" w:hAnsi="Times New Roman"/>
          <w:sz w:val="28"/>
          <w:szCs w:val="28"/>
        </w:rPr>
        <w:t xml:space="preserve">"кешбэк сервис"), включая т.н. "туристический кешбэк", "детский кешбэк" и др.; </w:t>
      </w:r>
    </w:p>
    <w:p>
      <w:pPr>
        <w:pStyle w:val="Normal"/>
        <w:ind w:firstLine="567"/>
        <w:rPr>
          <w:rFonts w:ascii="Times New Roman" w:hAnsi="Times New Roman"/>
          <w:sz w:val="28"/>
          <w:szCs w:val="28"/>
        </w:rPr>
      </w:pPr>
      <w:r>
        <w:rPr>
          <w:rFonts w:ascii="Times New Roman" w:hAnsi="Times New Roman"/>
          <w:sz w:val="28"/>
          <w:szCs w:val="28"/>
        </w:rPr>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Pr>
          <w:rFonts w:ascii="Times New Roman" w:hAnsi="Times New Roman"/>
          <w:sz w:val="28"/>
          <w:szCs w:val="28"/>
          <w:lang w:val="en-US"/>
        </w:rPr>
        <w:t>Tax</w:t>
      </w:r>
      <w:r>
        <w:rPr>
          <w:rFonts w:ascii="Times New Roman" w:hAnsi="Times New Roman"/>
          <w:sz w:val="28"/>
          <w:szCs w:val="28"/>
        </w:rPr>
        <w:t>-</w:t>
      </w:r>
      <w:r>
        <w:rPr>
          <w:rFonts w:ascii="Times New Roman" w:hAnsi="Times New Roman"/>
          <w:sz w:val="28"/>
          <w:szCs w:val="28"/>
          <w:lang w:val="en-US"/>
        </w:rPr>
        <w:t>free</w:t>
      </w:r>
      <w:r>
        <w:rPr>
          <w:rFonts w:ascii="Times New Roman" w:hAnsi="Times New Roman"/>
          <w:sz w:val="28"/>
          <w:szCs w:val="28"/>
        </w:rPr>
        <w:t>;</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6) в качестве вознаграждения донорам за сданную кровь, ее компонентов (и иную помощь);</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pPr>
        <w:pStyle w:val="Normal"/>
        <w:ind w:firstLine="567"/>
        <w:rPr>
          <w:rFonts w:ascii="Times New Roman" w:hAnsi="Times New Roman"/>
          <w:sz w:val="28"/>
          <w:szCs w:val="28"/>
        </w:rPr>
      </w:pPr>
      <w:r>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 xml:space="preserve">10) в качестве перевода (между супругами и (или) несовершеннолетними детьми (аналогично в части, касающейся наличных денежных средств), </w:t>
      </w:r>
      <w:r>
        <w:rPr>
          <w:rStyle w:val="Style13"/>
          <w:rFonts w:cs="Times New Roman" w:ascii="Times New Roman" w:hAnsi="Times New Roman"/>
          <w:color w:val="000000"/>
          <w:sz w:val="28"/>
          <w:szCs w:val="28"/>
        </w:rPr>
        <w:t>кроме случая, предусмотренного пунктом 40 Методических рекомендаций – при невозможности по объективным причинам представить Сведения на супругу (супруга) и (или) несовершеннолетних детей)</w:t>
      </w:r>
      <w:r>
        <w:rPr>
          <w:rFonts w:ascii="Times New Roman" w:hAnsi="Times New Roman"/>
          <w:sz w:val="28"/>
          <w:szCs w:val="28"/>
        </w:rPr>
        <w:t>;</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11) в связи с возвратом денежных средств по несостоявшемуся договору купли-продажи;</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pPr>
        <w:pStyle w:val="Normal"/>
        <w:tabs>
          <w:tab w:val="left" w:pos="709" w:leader="none"/>
        </w:tabs>
        <w:ind w:firstLine="567"/>
        <w:rPr>
          <w:rStyle w:val="Style13"/>
          <w:rFonts w:ascii="Times New Roman" w:hAnsi="Times New Roman" w:cs="Times New Roman"/>
          <w:color w:val="000000"/>
          <w:sz w:val="28"/>
          <w:szCs w:val="28"/>
        </w:rPr>
      </w:pPr>
      <w:r>
        <w:rPr>
          <w:rFonts w:ascii="Times New Roman" w:hAnsi="Times New Roman"/>
          <w:sz w:val="28"/>
          <w:szCs w:val="28"/>
        </w:rPr>
        <w:t>14) на специальный избирательный счет в соответствии с</w:t>
      </w:r>
      <w:r>
        <w:rPr>
          <w:rStyle w:val="Style13"/>
          <w:rFonts w:cs="Times New Roman" w:ascii="Times New Roman" w:hAnsi="Times New Roman"/>
          <w:color w:val="000000"/>
          <w:sz w:val="28"/>
          <w:szCs w:val="28"/>
        </w:rPr>
        <w:t xml:space="preserve"> Федеральным законом</w:t>
      </w:r>
      <w:r>
        <w:rPr>
          <w:rFonts w:ascii="Times New Roman" w:hAnsi="Times New Roman"/>
          <w:sz w:val="28"/>
          <w:szCs w:val="28"/>
        </w:rPr>
        <w:t xml:space="preserve"> </w:t>
      </w:r>
      <w:r>
        <w:rPr>
          <w:rStyle w:val="Style13"/>
          <w:rFonts w:cs="Times New Roman" w:ascii="Times New Roman" w:hAnsi="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pPr>
        <w:pStyle w:val="ListParagraph"/>
        <w:numPr>
          <w:ilvl w:val="0"/>
          <w:numId w:val="1"/>
        </w:numPr>
        <w:ind w:left="0" w:firstLine="709"/>
        <w:rPr>
          <w:rFonts w:ascii="Times New Roman" w:hAnsi="Times New Roman"/>
          <w:sz w:val="28"/>
          <w:szCs w:val="28"/>
        </w:rPr>
      </w:pPr>
      <w:r>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Pr>
          <w:rFonts w:eastAsia="Times New Roman" w:ascii="Times New Roman" w:hAnsi="Times New Roman"/>
          <w:sz w:val="28"/>
          <w:szCs w:val="28"/>
          <w:lang w:eastAsia="ru-RU"/>
        </w:rPr>
        <w:t xml:space="preserve">не подлежит отражению в разделе 1 справки. </w:t>
      </w:r>
    </w:p>
    <w:p>
      <w:pPr>
        <w:pStyle w:val="ListParagraph"/>
        <w:ind w:left="0" w:firstLine="709"/>
        <w:rPr>
          <w:rFonts w:ascii="Times New Roman" w:hAnsi="Times New Roman"/>
          <w:sz w:val="28"/>
          <w:szCs w:val="28"/>
        </w:rPr>
      </w:pPr>
      <w:r>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pPr>
        <w:pStyle w:val="ListParagraph"/>
        <w:ind w:left="567" w:hanging="0"/>
        <w:rPr>
          <w:rFonts w:ascii="Times New Roman" w:hAnsi="Times New Roman"/>
          <w:sz w:val="28"/>
          <w:szCs w:val="28"/>
        </w:rPr>
      </w:pPr>
      <w:r>
        <w:rPr>
          <w:rFonts w:ascii="Times New Roman" w:hAnsi="Times New Roman"/>
          <w:sz w:val="28"/>
          <w:szCs w:val="28"/>
        </w:rPr>
      </w:r>
    </w:p>
    <w:p>
      <w:pPr>
        <w:pStyle w:val="Normal"/>
        <w:tabs>
          <w:tab w:val="left" w:pos="709" w:leader="none"/>
        </w:tabs>
        <w:ind w:hanging="0"/>
        <w:jc w:val="center"/>
        <w:rPr>
          <w:rFonts w:ascii="Times New Roman" w:hAnsi="Times New Roman"/>
          <w:b/>
          <w:sz w:val="28"/>
          <w:szCs w:val="28"/>
        </w:rPr>
      </w:pPr>
      <w:r>
        <w:rPr>
          <w:rFonts w:ascii="Times New Roman" w:hAnsi="Times New Roman"/>
          <w:b/>
          <w:sz w:val="28"/>
          <w:szCs w:val="28"/>
        </w:rPr>
        <w:t>РАЗДЕЛ 2. СВЕДЕНИЯ О РАСХОДАХ</w:t>
      </w:r>
    </w:p>
    <w:p>
      <w:pPr>
        <w:pStyle w:val="Normal"/>
        <w:ind w:firstLine="851"/>
        <w:jc w:val="center"/>
        <w:rPr>
          <w:rFonts w:ascii="Times New Roman" w:hAnsi="Times New Roman"/>
          <w:b/>
          <w:sz w:val="28"/>
          <w:szCs w:val="28"/>
        </w:rPr>
      </w:pPr>
      <w:r>
        <w:rPr>
          <w:rFonts w:ascii="Times New Roman" w:hAnsi="Times New Roman"/>
          <w:b/>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Данный раздел справки </w:t>
      </w:r>
      <w:r>
        <w:rPr>
          <w:rFonts w:ascii="Times New Roman" w:hAnsi="Times New Roman"/>
          <w:b/>
          <w:sz w:val="28"/>
          <w:szCs w:val="28"/>
        </w:rPr>
        <w:t>заполняется только</w:t>
      </w:r>
      <w:r>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2024 году сообщаются сведения о расходах по сделкам, совершенным в 2023 году. </w:t>
      </w:r>
    </w:p>
    <w:p>
      <w:pPr>
        <w:pStyle w:val="Normal"/>
        <w:ind w:firstLine="567"/>
        <w:rPr>
          <w:rFonts w:ascii="Times New Roman" w:hAnsi="Times New Roman"/>
          <w:sz w:val="28"/>
          <w:szCs w:val="28"/>
        </w:rPr>
      </w:pPr>
      <w:r>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Pr>
          <w:rFonts w:ascii="Times New Roman" w:hAnsi="Times New Roman"/>
          <w:b/>
          <w:sz w:val="28"/>
        </w:rPr>
        <w:t>"Сумма сделки"</w:t>
      </w:r>
      <w:r>
        <w:rPr>
          <w:rFonts w:ascii="Times New Roman" w:hAnsi="Times New Roman"/>
          <w:sz w:val="28"/>
          <w:szCs w:val="28"/>
        </w:rPr>
        <w:t xml:space="preserve"> применимых справок рекомендуется указывать полную стоимость.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Данный раздел справки также подлежит заполнению при наличии обстоятельств, перечисленных в пункте 86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Граждане, поступающие на службу (работу), раздел 2 справки не заполняют.</w:t>
      </w:r>
    </w:p>
    <w:p>
      <w:pPr>
        <w:pStyle w:val="ListParagraph"/>
        <w:ind w:left="0" w:firstLine="567"/>
        <w:rPr>
          <w:rFonts w:ascii="Times New Roman" w:hAnsi="Times New Roman"/>
          <w:sz w:val="28"/>
          <w:szCs w:val="28"/>
        </w:rPr>
      </w:pPr>
      <w:r>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Заполнение данного раздела при отсутствии указанных в пункте 86 настоящих Методических рекомендаций оснований не является нарушением.</w:t>
      </w:r>
    </w:p>
    <w:p>
      <w:pPr>
        <w:pStyle w:val="ListParagraph"/>
        <w:numPr>
          <w:ilvl w:val="0"/>
          <w:numId w:val="1"/>
        </w:numPr>
        <w:ind w:left="0" w:firstLine="567"/>
        <w:rPr>
          <w:rFonts w:ascii="Times New Roman" w:hAnsi="Times New Roman"/>
          <w:sz w:val="28"/>
          <w:szCs w:val="28"/>
        </w:rPr>
      </w:pPr>
      <w:r>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2023 году, суммируются доходы служащего (работника) и его супруги (супруга), полученные в 2020, 2021 и 2022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 связанные с отпуском, оплатой </w:t>
      </w:r>
      <w:r>
        <w:rPr>
          <w:rFonts w:ascii="Times New Roman" w:hAnsi="Times New Roman"/>
          <w:sz w:val="28"/>
          <w:szCs w:val="28"/>
        </w:rPr>
        <w:t>жилищно-коммунальных услуг и т.п.</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Для цели реализации пункта 86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pPr>
        <w:pStyle w:val="ListParagraph"/>
        <w:ind w:left="0" w:firstLine="567"/>
        <w:rPr>
          <w:rFonts w:ascii="Times New Roman" w:hAnsi="Times New Roman"/>
          <w:sz w:val="28"/>
          <w:szCs w:val="28"/>
        </w:rPr>
      </w:pPr>
      <w:r>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pPr>
        <w:pStyle w:val="ListParagraph"/>
        <w:numPr>
          <w:ilvl w:val="0"/>
          <w:numId w:val="1"/>
        </w:numPr>
        <w:tabs>
          <w:tab w:val="clear" w:pos="709"/>
          <w:tab w:val="left" w:pos="0" w:leader="none"/>
          <w:tab w:val="left" w:pos="1418" w:leader="none"/>
        </w:tabs>
        <w:ind w:left="0" w:firstLine="567"/>
        <w:rPr>
          <w:rFonts w:ascii="Times New Roman" w:hAnsi="Times New Roman"/>
          <w:sz w:val="28"/>
          <w:szCs w:val="28"/>
        </w:rPr>
      </w:pPr>
      <w:r>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pPr>
        <w:pStyle w:val="ListParagraph"/>
        <w:tabs>
          <w:tab w:val="clear" w:pos="709"/>
          <w:tab w:val="left" w:pos="0" w:leader="none"/>
          <w:tab w:val="left" w:pos="1418" w:leader="none"/>
        </w:tabs>
        <w:ind w:left="0" w:firstLine="567"/>
        <w:rPr>
          <w:rFonts w:ascii="Times New Roman" w:hAnsi="Times New Roman"/>
          <w:sz w:val="28"/>
          <w:szCs w:val="28"/>
        </w:rPr>
      </w:pPr>
      <w:r>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Данный раздел </w:t>
      </w:r>
      <w:r>
        <w:rPr>
          <w:rFonts w:ascii="Times New Roman" w:hAnsi="Times New Roman"/>
          <w:b/>
          <w:sz w:val="28"/>
          <w:szCs w:val="28"/>
        </w:rPr>
        <w:t>не заполняется</w:t>
      </w:r>
      <w:r>
        <w:rPr>
          <w:rFonts w:ascii="Times New Roman" w:hAnsi="Times New Roman"/>
          <w:sz w:val="28"/>
          <w:szCs w:val="28"/>
        </w:rPr>
        <w:t xml:space="preserve"> в следующих случаях:</w:t>
      </w:r>
    </w:p>
    <w:p>
      <w:pPr>
        <w:pStyle w:val="ListParagraph"/>
        <w:ind w:left="0" w:firstLine="567"/>
        <w:rPr>
          <w:rFonts w:ascii="Times New Roman" w:hAnsi="Times New Roman"/>
          <w:sz w:val="28"/>
          <w:szCs w:val="28"/>
        </w:rPr>
      </w:pPr>
      <w:r>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pPr>
        <w:pStyle w:val="Normal"/>
        <w:ind w:firstLine="567"/>
        <w:rPr>
          <w:rFonts w:ascii="Times New Roman" w:hAnsi="Times New Roman"/>
          <w:sz w:val="28"/>
          <w:szCs w:val="28"/>
        </w:rPr>
      </w:pPr>
      <w:r>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pPr>
        <w:pStyle w:val="Normal"/>
        <w:ind w:firstLine="567"/>
        <w:rPr>
          <w:rFonts w:ascii="Times New Roman" w:hAnsi="Times New Roman"/>
          <w:sz w:val="28"/>
          <w:szCs w:val="28"/>
        </w:rPr>
      </w:pPr>
      <w:r>
        <w:rPr>
          <w:rFonts w:ascii="Times New Roman" w:hAnsi="Times New Roman"/>
          <w:sz w:val="28"/>
          <w:szCs w:val="28"/>
        </w:rP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графы </w:t>
      </w:r>
      <w:r>
        <w:rPr>
          <w:rFonts w:ascii="Times New Roman" w:hAnsi="Times New Roman"/>
          <w:b/>
          <w:sz w:val="28"/>
        </w:rPr>
        <w:t>"</w:t>
      </w:r>
      <w:r>
        <w:rPr>
          <w:rFonts w:ascii="Times New Roman" w:hAnsi="Times New Roman"/>
          <w:b/>
          <w:sz w:val="28"/>
          <w:szCs w:val="28"/>
        </w:rPr>
        <w:t>Вид приобретенного имущества</w:t>
      </w:r>
      <w:r>
        <w:rPr>
          <w:rFonts w:ascii="Times New Roman" w:hAnsi="Times New Roman"/>
          <w:b/>
          <w:sz w:val="28"/>
        </w:rPr>
        <w:t>"</w:t>
      </w:r>
      <w:r>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графы </w:t>
      </w:r>
      <w:r>
        <w:rPr>
          <w:rFonts w:ascii="Times New Roman" w:hAnsi="Times New Roman"/>
          <w:b/>
          <w:sz w:val="28"/>
        </w:rPr>
        <w:t>"</w:t>
      </w:r>
      <w:r>
        <w:rPr>
          <w:rFonts w:ascii="Times New Roman" w:hAnsi="Times New Roman"/>
          <w:b/>
          <w:sz w:val="28"/>
          <w:szCs w:val="28"/>
        </w:rPr>
        <w:t>Источник получения средств, за счет которых приобретено имущество</w:t>
      </w:r>
      <w:r>
        <w:rPr>
          <w:rFonts w:ascii="Times New Roman" w:hAnsi="Times New Roman"/>
          <w:b/>
          <w:sz w:val="28"/>
        </w:rPr>
        <w:t>"</w:t>
      </w:r>
      <w:r>
        <w:rPr>
          <w:rFonts w:ascii="Times New Roman" w:hAnsi="Times New Roman"/>
          <w:b/>
          <w:sz w:val="28"/>
          <w:szCs w:val="28"/>
        </w:rPr>
        <w:t xml:space="preserve"> </w:t>
      </w:r>
      <w:r>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pPr>
        <w:pStyle w:val="ConsPlusNormal"/>
        <w:numPr>
          <w:ilvl w:val="0"/>
          <w:numId w:val="1"/>
        </w:numPr>
        <w:ind w:left="0" w:firstLine="567"/>
        <w:jc w:val="both"/>
        <w:rPr/>
      </w:pPr>
      <w:r>
        <w:rPr/>
        <w:t xml:space="preserve">В графе </w:t>
      </w:r>
      <w:r>
        <w:rPr>
          <w:b/>
        </w:rPr>
        <w:t xml:space="preserve">"Основания приобретения имущества" </w:t>
      </w:r>
      <w:r>
        <w:rPr/>
        <w:t>указываются регистрационный номер и дата записи в Едином государственном реестре недвижимости (ЕГРН)</w:t>
      </w:r>
      <w:r>
        <w:rPr>
          <w:bCs/>
        </w:rPr>
        <w:t xml:space="preserve">. Также указываются </w:t>
      </w:r>
      <w:r>
        <w:rPr/>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pPr>
        <w:pStyle w:val="ConsPlusNormal"/>
        <w:ind w:firstLine="567"/>
        <w:jc w:val="both"/>
        <w:rPr/>
      </w:pPr>
      <w:r>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pPr>
        <w:pStyle w:val="ConsPlusNormal"/>
        <w:ind w:firstLine="567"/>
        <w:jc w:val="both"/>
        <w:rPr/>
      </w:pPr>
      <w:r>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pPr>
        <w:pStyle w:val="ConsPlusNormal"/>
        <w:ind w:firstLine="567"/>
        <w:jc w:val="both"/>
        <w:rPr/>
      </w:pPr>
      <w:r>
        <w:rP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pPr>
        <w:pStyle w:val="ConsPlusNormal"/>
        <w:numPr>
          <w:ilvl w:val="0"/>
          <w:numId w:val="1"/>
        </w:numPr>
        <w:ind w:left="0" w:firstLine="567"/>
        <w:jc w:val="both"/>
        <w:rPr/>
      </w:pPr>
      <w:r>
        <w:rPr>
          <w:b/>
        </w:rPr>
        <w:t>Особенности заполнения раздела "Сведения о расходах"</w:t>
      </w:r>
      <w:r>
        <w:rPr/>
        <w:t>:</w:t>
      </w:r>
    </w:p>
    <w:p>
      <w:pPr>
        <w:pStyle w:val="Normal"/>
        <w:ind w:firstLine="567"/>
        <w:rPr>
          <w:rFonts w:ascii="Times New Roman" w:hAnsi="Times New Roman"/>
          <w:sz w:val="28"/>
          <w:szCs w:val="28"/>
        </w:rPr>
      </w:pPr>
      <w:r>
        <w:rPr>
          <w:rFonts w:ascii="Times New Roman" w:hAnsi="Times New Roman"/>
          <w:b/>
          <w:sz w:val="28"/>
          <w:szCs w:val="28"/>
        </w:rPr>
        <w:t>1) приобретение недвижимого имущества посредством участия в долевом строительстве.</w:t>
      </w:r>
      <w:r>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pPr>
        <w:pStyle w:val="Normal"/>
        <w:ind w:firstLine="567"/>
        <w:rPr>
          <w:rFonts w:ascii="Times New Roman" w:hAnsi="Times New Roman"/>
          <w:sz w:val="28"/>
          <w:szCs w:val="28"/>
        </w:rPr>
      </w:pPr>
      <w:r>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pPr>
        <w:pStyle w:val="Normal"/>
        <w:ind w:firstLine="567"/>
        <w:rPr>
          <w:rFonts w:ascii="Times New Roman" w:hAnsi="Times New Roman"/>
          <w:sz w:val="28"/>
          <w:szCs w:val="28"/>
        </w:rPr>
      </w:pPr>
      <w:r>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pPr>
        <w:pStyle w:val="Normal"/>
        <w:ind w:firstLine="567"/>
        <w:rPr>
          <w:rFonts w:ascii="Times New Roman" w:hAnsi="Times New Roman"/>
          <w:sz w:val="28"/>
          <w:szCs w:val="28"/>
        </w:rPr>
      </w:pPr>
      <w:r>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pPr>
        <w:pStyle w:val="Normal"/>
        <w:shd w:val="clear" w:color="auto" w:fill="FFFFFF"/>
        <w:ind w:firstLine="567"/>
        <w:rPr>
          <w:rFonts w:ascii="Times New Roman" w:hAnsi="Times New Roman"/>
          <w:sz w:val="28"/>
          <w:szCs w:val="28"/>
        </w:rPr>
      </w:pPr>
      <w:r>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Pr>
          <w:rFonts w:ascii="Times New Roman" w:hAnsi="Times New Roman"/>
          <w:spacing w:val="2"/>
          <w:sz w:val="28"/>
          <w:szCs w:val="28"/>
        </w:rPr>
        <w:t xml:space="preserve">собственности на недвижимое имущество, приобретенное на основании </w:t>
      </w:r>
      <w:r>
        <w:rPr>
          <w:rFonts w:ascii="Times New Roman" w:hAnsi="Times New Roman"/>
          <w:spacing w:val="1"/>
          <w:sz w:val="28"/>
          <w:szCs w:val="28"/>
        </w:rPr>
        <w:t xml:space="preserve">договора долевого участия, сведения об этом имуществе подлежат указанию </w:t>
      </w:r>
      <w:r>
        <w:rPr>
          <w:rFonts w:ascii="Times New Roman" w:hAnsi="Times New Roman"/>
          <w:sz w:val="28"/>
          <w:szCs w:val="28"/>
        </w:rPr>
        <w:t>в подразделе 3.1 раздела 3 справки;</w:t>
      </w:r>
    </w:p>
    <w:p>
      <w:pPr>
        <w:pStyle w:val="Normal"/>
        <w:ind w:firstLine="567"/>
        <w:rPr>
          <w:rFonts w:ascii="Times New Roman" w:hAnsi="Times New Roman"/>
          <w:sz w:val="28"/>
          <w:szCs w:val="28"/>
        </w:rPr>
      </w:pPr>
      <w:r>
        <w:rPr>
          <w:rFonts w:ascii="Times New Roman" w:hAnsi="Times New Roman"/>
          <w:b/>
          <w:sz w:val="28"/>
          <w:szCs w:val="28"/>
        </w:rPr>
        <w:t>2) приобретение недвижимого имущества посредством участия в кооперативе.</w:t>
      </w:r>
      <w:r>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pPr>
        <w:pStyle w:val="Normal"/>
        <w:ind w:firstLine="567"/>
        <w:rPr>
          <w:rFonts w:ascii="Times New Roman" w:hAnsi="Times New Roman"/>
          <w:sz w:val="28"/>
          <w:szCs w:val="28"/>
        </w:rPr>
      </w:pPr>
      <w:r>
        <w:rPr>
          <w:rFonts w:ascii="Times New Roman" w:hAnsi="Times New Roman"/>
          <w:b/>
          <w:sz w:val="28"/>
          <w:szCs w:val="28"/>
        </w:rPr>
        <w:t>3) приобретение ценных бумаг.</w:t>
      </w:r>
      <w:r>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pPr>
        <w:pStyle w:val="Normal"/>
        <w:ind w:firstLine="567"/>
        <w:rPr>
          <w:rFonts w:ascii="Times New Roman" w:hAnsi="Times New Roman"/>
          <w:sz w:val="28"/>
          <w:szCs w:val="28"/>
        </w:rPr>
      </w:pPr>
      <w:r>
        <w:rPr>
          <w:rFonts w:ascii="Times New Roman" w:hAnsi="Times New Roman"/>
          <w:b/>
          <w:sz w:val="28"/>
          <w:szCs w:val="28"/>
        </w:rPr>
        <w:t>4) приобретение цифровых финансовых активов и цифровых валют.</w:t>
      </w:r>
      <w:r>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pPr>
        <w:pStyle w:val="Normal"/>
        <w:ind w:firstLine="851"/>
        <w:rPr>
          <w:rFonts w:ascii="Times New Roman" w:hAnsi="Times New Roman"/>
          <w:sz w:val="28"/>
          <w:szCs w:val="28"/>
        </w:rPr>
      </w:pPr>
      <w:r>
        <w:rPr>
          <w:rFonts w:ascii="Times New Roman" w:hAnsi="Times New Roman"/>
          <w:sz w:val="28"/>
          <w:szCs w:val="28"/>
        </w:rPr>
      </w:r>
    </w:p>
    <w:p>
      <w:pPr>
        <w:pStyle w:val="Normal"/>
        <w:ind w:hanging="0"/>
        <w:jc w:val="center"/>
        <w:rPr>
          <w:rFonts w:ascii="Times New Roman" w:hAnsi="Times New Roman" w:eastAsia="Times New Roman"/>
          <w:b/>
          <w:sz w:val="28"/>
          <w:szCs w:val="28"/>
        </w:rPr>
      </w:pPr>
      <w:r>
        <w:rPr>
          <w:rFonts w:eastAsia="Times New Roman" w:ascii="Times New Roman" w:hAnsi="Times New Roman"/>
          <w:b/>
          <w:sz w:val="28"/>
          <w:szCs w:val="28"/>
          <w:lang w:eastAsia="ru-RU"/>
        </w:rPr>
        <w:t>РАЗДЕЛ 3. СВЕДЕНИЯ ОБ ИМУЩЕСТВЕ</w:t>
      </w:r>
    </w:p>
    <w:p>
      <w:pPr>
        <w:pStyle w:val="Normal"/>
        <w:ind w:firstLine="851"/>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rPr>
          <w:rFonts w:ascii="Times New Roman" w:hAnsi="Times New Roman" w:eastAsia="Times New Roman"/>
          <w:b/>
          <w:sz w:val="28"/>
          <w:szCs w:val="28"/>
        </w:rPr>
      </w:pPr>
      <w:r>
        <w:rPr>
          <w:rFonts w:eastAsia="Times New Roman" w:ascii="Times New Roman" w:hAnsi="Times New Roman"/>
          <w:b/>
          <w:sz w:val="28"/>
          <w:szCs w:val="28"/>
          <w:lang w:eastAsia="ru-RU"/>
        </w:rPr>
        <w:t>Подраздел 3.1 Недвижимое имущество</w:t>
      </w:r>
    </w:p>
    <w:p>
      <w:pPr>
        <w:pStyle w:val="ListParagraph"/>
        <w:ind w:left="567" w:hanging="0"/>
        <w:rPr>
          <w:rFonts w:ascii="Times New Roman" w:hAnsi="Times New Roman"/>
          <w:sz w:val="28"/>
          <w:szCs w:val="28"/>
        </w:rPr>
      </w:pPr>
      <w:r>
        <w:rPr>
          <w:rFonts w:ascii="Times New Roman" w:hAnsi="Times New Roman"/>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pPr>
        <w:pStyle w:val="Normal"/>
        <w:ind w:firstLine="567"/>
        <w:rPr>
          <w:rFonts w:ascii="Times New Roman" w:hAnsi="Times New Roman"/>
          <w:sz w:val="28"/>
          <w:szCs w:val="28"/>
        </w:rPr>
      </w:pPr>
      <w:r>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Pr>
          <w:rFonts w:ascii="Times New Roman" w:hAnsi="Times New Roman"/>
          <w:sz w:val="28"/>
          <w:szCs w:val="28"/>
          <w:shd w:fill="FFFFFF" w:val="clear"/>
        </w:rPr>
        <w:t>гражданину, зарегистрированному в качестве индивидуального предпринимателя</w:t>
      </w:r>
      <w:r>
        <w:rPr>
          <w:rFonts w:ascii="Times New Roman" w:hAnsi="Times New Roman"/>
          <w:sz w:val="28"/>
          <w:szCs w:val="28"/>
        </w:rPr>
        <w:t>.</w:t>
      </w:r>
    </w:p>
    <w:p>
      <w:pPr>
        <w:pStyle w:val="Normal"/>
        <w:ind w:firstLine="567"/>
        <w:rPr>
          <w:rFonts w:ascii="Times New Roman" w:hAnsi="Times New Roman"/>
          <w:sz w:val="28"/>
          <w:szCs w:val="28"/>
        </w:rPr>
      </w:pPr>
      <w:r>
        <w:rPr>
          <w:rFonts w:ascii="Times New Roman" w:hAnsi="Times New Roman"/>
          <w:sz w:val="28"/>
          <w:szCs w:val="28"/>
        </w:rPr>
        <w:t xml:space="preserve">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пунктом 121 настоящих Методических рекомендаций).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pPr>
        <w:pStyle w:val="ListParagraph"/>
        <w:ind w:left="0" w:firstLine="567"/>
        <w:rPr>
          <w:rFonts w:ascii="Times New Roman" w:hAnsi="Times New Roman"/>
          <w:sz w:val="28"/>
          <w:szCs w:val="28"/>
        </w:rPr>
      </w:pPr>
      <w:r>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пунктом 121 настоящих Методических рекомендаций).</w:t>
      </w:r>
    </w:p>
    <w:p>
      <w:pPr>
        <w:pStyle w:val="ListParagraph"/>
        <w:numPr>
          <w:ilvl w:val="0"/>
          <w:numId w:val="1"/>
        </w:numPr>
        <w:ind w:left="0" w:firstLine="709"/>
        <w:outlineLvl w:val="1"/>
        <w:rPr>
          <w:rFonts w:ascii="Times New Roman" w:hAnsi="Times New Roman"/>
          <w:sz w:val="28"/>
          <w:szCs w:val="28"/>
        </w:rPr>
      </w:pPr>
      <w:r>
        <w:rPr>
          <w:rFonts w:ascii="Times New Roman" w:hAnsi="Times New Roman"/>
          <w:sz w:val="28"/>
          <w:szCs w:val="28"/>
        </w:rPr>
        <w:t>В соответствии с пунктом 4 статьи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pPr>
        <w:pStyle w:val="ListParagraph"/>
        <w:numPr>
          <w:ilvl w:val="0"/>
          <w:numId w:val="1"/>
        </w:numPr>
        <w:ind w:left="0" w:firstLine="567"/>
        <w:outlineLvl w:val="1"/>
        <w:rPr>
          <w:rFonts w:ascii="Times New Roman" w:hAnsi="Times New Roman"/>
          <w:sz w:val="28"/>
          <w:szCs w:val="28"/>
        </w:rPr>
      </w:pPr>
      <w:r>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pPr>
        <w:pStyle w:val="ListParagraph"/>
        <w:numPr>
          <w:ilvl w:val="0"/>
          <w:numId w:val="1"/>
        </w:numPr>
        <w:ind w:left="0" w:firstLine="567"/>
        <w:outlineLvl w:val="1"/>
        <w:rPr>
          <w:rFonts w:ascii="Times New Roman" w:hAnsi="Times New Roman"/>
          <w:sz w:val="28"/>
          <w:szCs w:val="28"/>
        </w:rPr>
      </w:pPr>
      <w:r>
        <w:rPr>
          <w:rStyle w:val="Style13"/>
          <w:rFonts w:cs="Times New Roman" w:ascii="Times New Roman" w:hAnsi="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pPr>
        <w:pStyle w:val="ListParagraph"/>
        <w:ind w:left="0" w:firstLine="567"/>
        <w:rPr>
          <w:rFonts w:ascii="Times New Roman" w:hAnsi="Times New Roman"/>
          <w:b/>
          <w:sz w:val="28"/>
          <w:szCs w:val="28"/>
        </w:rPr>
      </w:pPr>
      <w:r>
        <w:rPr>
          <w:rFonts w:ascii="Times New Roman" w:hAnsi="Times New Roman"/>
          <w:sz w:val="28"/>
          <w:szCs w:val="28"/>
        </w:rPr>
        <w:t xml:space="preserve">Заполнение графы </w:t>
      </w:r>
      <w:r>
        <w:rPr>
          <w:rFonts w:ascii="Times New Roman" w:hAnsi="Times New Roman"/>
          <w:b/>
          <w:sz w:val="28"/>
          <w:szCs w:val="28"/>
        </w:rPr>
        <w:t xml:space="preserve">"Вид и наименование имущества"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При указании сведений о </w:t>
      </w:r>
      <w:r>
        <w:rPr>
          <w:rFonts w:ascii="Times New Roman" w:hAnsi="Times New Roman"/>
          <w:b/>
          <w:sz w:val="28"/>
          <w:szCs w:val="28"/>
        </w:rPr>
        <w:t>земельных участках</w:t>
      </w:r>
      <w:r>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pPr>
        <w:pStyle w:val="Normal"/>
        <w:ind w:firstLine="567"/>
        <w:rPr>
          <w:rFonts w:ascii="Times New Roman" w:hAnsi="Times New Roman"/>
          <w:sz w:val="28"/>
          <w:szCs w:val="28"/>
        </w:rPr>
      </w:pPr>
      <w:r>
        <w:rPr>
          <w:rFonts w:ascii="Times New Roman" w:hAnsi="Times New Roman"/>
          <w:sz w:val="28"/>
          <w:szCs w:val="28"/>
        </w:rPr>
        <w:t xml:space="preserve">1) садовый земельный участок – </w:t>
      </w:r>
      <w:r>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Pr>
          <w:rFonts w:ascii="Times New Roman" w:hAnsi="Times New Roman"/>
          <w:sz w:val="28"/>
          <w:szCs w:val="28"/>
        </w:rPr>
        <w:t>;</w:t>
      </w:r>
    </w:p>
    <w:p>
      <w:pPr>
        <w:pStyle w:val="Normal"/>
        <w:ind w:firstLine="567"/>
        <w:rPr>
          <w:rFonts w:ascii="Times New Roman" w:hAnsi="Times New Roman"/>
          <w:sz w:val="28"/>
          <w:szCs w:val="28"/>
        </w:rPr>
      </w:pPr>
      <w:r>
        <w:rPr>
          <w:rFonts w:ascii="Times New Roman" w:hAnsi="Times New Roman"/>
          <w:sz w:val="28"/>
          <w:szCs w:val="28"/>
        </w:rPr>
        <w:t xml:space="preserve">2) огородный земельный участок – </w:t>
      </w:r>
      <w:r>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pPr>
        <w:pStyle w:val="ListParagraph"/>
        <w:numPr>
          <w:ilvl w:val="0"/>
          <w:numId w:val="1"/>
        </w:numPr>
        <w:ind w:left="0" w:firstLine="567"/>
        <w:rPr>
          <w:rStyle w:val="Style13"/>
          <w:rFonts w:ascii="Times New Roman" w:hAnsi="Times New Roman" w:cs="Times New Roman"/>
          <w:sz w:val="28"/>
          <w:szCs w:val="28"/>
          <w:shd w:fill="auto" w:val="clear"/>
        </w:rPr>
      </w:pPr>
      <w:r>
        <w:rPr>
          <w:rStyle w:val="Style13"/>
          <w:rFonts w:cs="Times New Roman" w:ascii="Times New Roman" w:hAnsi="Times New Roman"/>
          <w:color w:val="000000"/>
          <w:sz w:val="28"/>
          <w:szCs w:val="28"/>
        </w:rPr>
        <w:t xml:space="preserve">При наличии в собственности </w:t>
      </w:r>
      <w:r>
        <w:rPr>
          <w:rStyle w:val="Style13"/>
          <w:rFonts w:cs="Times New Roman" w:ascii="Times New Roman" w:hAnsi="Times New Roman"/>
          <w:b/>
          <w:color w:val="000000"/>
          <w:sz w:val="28"/>
          <w:szCs w:val="28"/>
        </w:rPr>
        <w:t>жилого или садового дома,</w:t>
      </w:r>
      <w:r>
        <w:rPr>
          <w:rStyle w:val="Style13"/>
          <w:rFonts w:cs="Times New Roman" w:ascii="Times New Roman" w:hAnsi="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pPr>
        <w:pStyle w:val="ListParagraph"/>
        <w:numPr>
          <w:ilvl w:val="0"/>
          <w:numId w:val="1"/>
        </w:numPr>
        <w:ind w:left="0" w:firstLine="567"/>
        <w:rPr>
          <w:rFonts w:ascii="Times New Roman" w:hAnsi="Times New Roman"/>
          <w:sz w:val="28"/>
          <w:szCs w:val="28"/>
        </w:rPr>
      </w:pPr>
      <w:r>
        <w:rPr>
          <w:rStyle w:val="Style13"/>
          <w:rFonts w:cs="Times New Roman" w:ascii="Times New Roman" w:hAnsi="Times New Roman"/>
          <w:color w:val="000000"/>
          <w:sz w:val="28"/>
          <w:szCs w:val="28"/>
        </w:rPr>
        <w:t>В строке "</w:t>
      </w:r>
      <w:r>
        <w:rPr>
          <w:rStyle w:val="Style13"/>
          <w:rFonts w:cs="Times New Roman" w:ascii="Times New Roman" w:hAnsi="Times New Roman"/>
          <w:b/>
          <w:color w:val="000000"/>
          <w:sz w:val="28"/>
          <w:szCs w:val="28"/>
        </w:rPr>
        <w:t>Гаражи</w:t>
      </w:r>
      <w:r>
        <w:rPr>
          <w:rStyle w:val="Style13"/>
          <w:rFonts w:cs="Times New Roman" w:ascii="Times New Roman" w:hAnsi="Times New Roman"/>
          <w:color w:val="000000"/>
          <w:sz w:val="28"/>
          <w:szCs w:val="28"/>
        </w:rPr>
        <w:t xml:space="preserve">" указывается информация об </w:t>
      </w:r>
      <w:r>
        <w:rPr>
          <w:rFonts w:ascii="Times New Roman" w:hAnsi="Times New Roman"/>
          <w:sz w:val="28"/>
          <w:szCs w:val="28"/>
        </w:rPr>
        <w:t>организованных местах хранения автотранспорта - "гараж", "м</w:t>
      </w:r>
      <w:r>
        <w:rPr>
          <w:rStyle w:val="Style13"/>
          <w:rFonts w:cs="Times New Roman" w:ascii="Times New Roman" w:hAnsi="Times New Roman"/>
          <w:color w:val="000000"/>
          <w:sz w:val="28"/>
          <w:szCs w:val="28"/>
        </w:rPr>
        <w:t xml:space="preserve">ашино-место" и другие на основании </w:t>
      </w:r>
      <w:r>
        <w:rPr>
          <w:rFonts w:ascii="Times New Roman" w:hAnsi="Times New Roman"/>
          <w:sz w:val="28"/>
          <w:szCs w:val="28"/>
        </w:rPr>
        <w:t>свидетельства о регистрации права собственности (иного правоустанавливающего документа).</w:t>
      </w:r>
      <w:r>
        <w:rPr>
          <w:rStyle w:val="Style13"/>
          <w:rFonts w:cs="Times New Roman" w:ascii="Times New Roman" w:hAnsi="Times New Roman"/>
          <w:sz w:val="28"/>
          <w:szCs w:val="28"/>
        </w:rPr>
        <w:t xml:space="preserve"> Земельный участок, на котором расположен гараж, являющийся обособленным строением, </w:t>
      </w:r>
      <w:r>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"Вид собственности"</w:t>
      </w:r>
      <w:r>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Pr>
          <w:rFonts w:ascii="Times New Roman" w:hAnsi="Times New Roman"/>
          <w:b/>
          <w:sz w:val="28"/>
        </w:rPr>
        <w:t>"Вид собственности"</w:t>
      </w:r>
      <w:r>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pPr>
        <w:pStyle w:val="ListParagraph"/>
        <w:numPr>
          <w:ilvl w:val="0"/>
          <w:numId w:val="1"/>
        </w:numPr>
        <w:ind w:left="0" w:firstLine="567"/>
        <w:rPr>
          <w:rFonts w:ascii="Times New Roman" w:hAnsi="Times New Roman"/>
          <w:sz w:val="28"/>
          <w:szCs w:val="28"/>
        </w:rPr>
      </w:pPr>
      <w:r>
        <w:rPr>
          <w:rFonts w:ascii="Times New Roman" w:hAnsi="Times New Roman"/>
          <w:b/>
          <w:sz w:val="28"/>
          <w:szCs w:val="28"/>
        </w:rPr>
        <w:t>Местонахождение (адрес)</w:t>
      </w:r>
      <w:r>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pPr>
        <w:pStyle w:val="Normal"/>
        <w:ind w:firstLine="567"/>
        <w:rPr>
          <w:rFonts w:ascii="Times New Roman" w:hAnsi="Times New Roman"/>
          <w:sz w:val="28"/>
          <w:szCs w:val="28"/>
        </w:rPr>
      </w:pPr>
      <w:r>
        <w:rPr>
          <w:rFonts w:ascii="Times New Roman" w:hAnsi="Times New Roman"/>
          <w:sz w:val="28"/>
          <w:szCs w:val="28"/>
        </w:rPr>
        <w:t>1) субъект Российской Федерации;</w:t>
      </w:r>
    </w:p>
    <w:p>
      <w:pPr>
        <w:pStyle w:val="Normal"/>
        <w:ind w:firstLine="567"/>
        <w:rPr>
          <w:rFonts w:ascii="Times New Roman" w:hAnsi="Times New Roman"/>
          <w:sz w:val="28"/>
          <w:szCs w:val="28"/>
        </w:rPr>
      </w:pPr>
      <w:r>
        <w:rPr>
          <w:rFonts w:ascii="Times New Roman" w:hAnsi="Times New Roman"/>
          <w:sz w:val="28"/>
          <w:szCs w:val="28"/>
        </w:rPr>
        <w:t>2) район;</w:t>
      </w:r>
    </w:p>
    <w:p>
      <w:pPr>
        <w:pStyle w:val="Normal"/>
        <w:ind w:firstLine="567"/>
        <w:rPr>
          <w:rFonts w:ascii="Times New Roman" w:hAnsi="Times New Roman"/>
          <w:sz w:val="28"/>
          <w:szCs w:val="28"/>
        </w:rPr>
      </w:pPr>
      <w:r>
        <w:rPr>
          <w:rFonts w:ascii="Times New Roman" w:hAnsi="Times New Roman"/>
          <w:sz w:val="28"/>
          <w:szCs w:val="28"/>
        </w:rPr>
        <w:t>3) город, иной населенный пункт (село, поселок и т.д.);</w:t>
      </w:r>
    </w:p>
    <w:p>
      <w:pPr>
        <w:pStyle w:val="Normal"/>
        <w:ind w:firstLine="567"/>
        <w:rPr>
          <w:rFonts w:ascii="Times New Roman" w:hAnsi="Times New Roman"/>
          <w:sz w:val="28"/>
          <w:szCs w:val="28"/>
        </w:rPr>
      </w:pPr>
      <w:r>
        <w:rPr>
          <w:rFonts w:ascii="Times New Roman" w:hAnsi="Times New Roman"/>
          <w:sz w:val="28"/>
          <w:szCs w:val="28"/>
        </w:rPr>
        <w:t>4) улица (проспект, переулок и т.д.);</w:t>
      </w:r>
    </w:p>
    <w:p>
      <w:pPr>
        <w:pStyle w:val="ConsPlusNonformat"/>
        <w:ind w:firstLine="567"/>
        <w:rPr>
          <w:rFonts w:ascii="Times New Roman" w:hAnsi="Times New Roman" w:cs="Times New Roman"/>
          <w:sz w:val="28"/>
          <w:szCs w:val="28"/>
        </w:rPr>
      </w:pPr>
      <w:r>
        <w:rPr>
          <w:rFonts w:cs="Times New Roman" w:ascii="Times New Roman" w:hAnsi="Times New Roman"/>
          <w:sz w:val="28"/>
          <w:szCs w:val="28"/>
        </w:rPr>
        <w:t>5) номер дома (владения, участка), корпуса (строения), квартиры.</w:t>
      </w:r>
    </w:p>
    <w:p>
      <w:pPr>
        <w:pStyle w:val="ConsPlusNonformat"/>
        <w:ind w:firstLine="567"/>
        <w:rPr>
          <w:rFonts w:ascii="Times New Roman" w:hAnsi="Times New Roman" w:cs="Times New Roman"/>
          <w:sz w:val="28"/>
          <w:szCs w:val="28"/>
        </w:rPr>
      </w:pPr>
      <w:r>
        <w:rPr>
          <w:rFonts w:cs="Times New Roman" w:ascii="Times New Roman" w:hAnsi="Times New Roman"/>
          <w:sz w:val="28"/>
          <w:szCs w:val="28"/>
        </w:rPr>
        <w:t>Также рекомендуется указывать индекс.</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Если недвижимое имущество находится за рубежом, то указывается:</w:t>
      </w:r>
    </w:p>
    <w:p>
      <w:pPr>
        <w:pStyle w:val="Normal"/>
        <w:ind w:firstLine="567"/>
        <w:rPr>
          <w:rFonts w:ascii="Times New Roman" w:hAnsi="Times New Roman"/>
          <w:sz w:val="28"/>
          <w:szCs w:val="28"/>
        </w:rPr>
      </w:pPr>
      <w:r>
        <w:rPr>
          <w:rFonts w:ascii="Times New Roman" w:hAnsi="Times New Roman"/>
          <w:sz w:val="28"/>
          <w:szCs w:val="28"/>
        </w:rPr>
        <w:t>1) наименование государства;</w:t>
      </w:r>
    </w:p>
    <w:p>
      <w:pPr>
        <w:pStyle w:val="Normal"/>
        <w:ind w:firstLine="567"/>
        <w:rPr>
          <w:rFonts w:ascii="Times New Roman" w:hAnsi="Times New Roman"/>
          <w:sz w:val="28"/>
          <w:szCs w:val="28"/>
        </w:rPr>
      </w:pPr>
      <w:r>
        <w:rPr>
          <w:rFonts w:ascii="Times New Roman" w:hAnsi="Times New Roman"/>
          <w:sz w:val="28"/>
          <w:szCs w:val="28"/>
        </w:rPr>
        <w:t>2) населенный пункт (иная единица административно-территориального деления);</w:t>
      </w:r>
    </w:p>
    <w:p>
      <w:pPr>
        <w:pStyle w:val="Normal"/>
        <w:ind w:firstLine="567"/>
        <w:rPr>
          <w:rFonts w:ascii="Times New Roman" w:hAnsi="Times New Roman"/>
          <w:strike/>
          <w:sz w:val="28"/>
          <w:szCs w:val="28"/>
        </w:rPr>
      </w:pPr>
      <w:r>
        <w:rPr>
          <w:rFonts w:ascii="Times New Roman" w:hAnsi="Times New Roman"/>
          <w:sz w:val="28"/>
          <w:szCs w:val="28"/>
        </w:rPr>
        <w:t>3) почтовый адрес.</w:t>
      </w:r>
    </w:p>
    <w:p>
      <w:pPr>
        <w:pStyle w:val="ListParagraph"/>
        <w:numPr>
          <w:ilvl w:val="0"/>
          <w:numId w:val="1"/>
        </w:numPr>
        <w:ind w:left="0" w:firstLine="567"/>
        <w:rPr>
          <w:rStyle w:val="Style13"/>
          <w:rFonts w:ascii="Times New Roman" w:hAnsi="Times New Roman" w:cs="Times New Roman"/>
          <w:color w:val="000000"/>
          <w:sz w:val="28"/>
          <w:szCs w:val="28"/>
        </w:rPr>
      </w:pPr>
      <w:r>
        <w:rPr>
          <w:rFonts w:ascii="Times New Roman" w:hAnsi="Times New Roman"/>
          <w:b/>
          <w:sz w:val="28"/>
          <w:szCs w:val="28"/>
        </w:rPr>
        <w:t xml:space="preserve">Площадь </w:t>
      </w:r>
      <w:r>
        <w:rPr>
          <w:rFonts w:ascii="Times New Roman" w:hAnsi="Times New Roman"/>
          <w:sz w:val="28"/>
          <w:szCs w:val="28"/>
        </w:rPr>
        <w:t>объекта недвижимого имущества указывается на основании правоустанавливающих документов. Е</w:t>
      </w:r>
      <w:r>
        <w:rPr>
          <w:rStyle w:val="Style13"/>
          <w:rFonts w:cs="Times New Roman" w:ascii="Times New Roman" w:hAnsi="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pPr>
        <w:pStyle w:val="ListParagraph"/>
        <w:numPr>
          <w:ilvl w:val="0"/>
          <w:numId w:val="1"/>
        </w:numPr>
        <w:ind w:left="0" w:firstLine="567"/>
        <w:rPr>
          <w:rStyle w:val="Style13"/>
          <w:rFonts w:ascii="Times New Roman" w:hAnsi="Times New Roman" w:cs="Times New Roman"/>
          <w:color w:val="000000"/>
          <w:sz w:val="28"/>
          <w:szCs w:val="28"/>
        </w:rPr>
      </w:pPr>
      <w:r>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ListParagraph"/>
        <w:ind w:left="0" w:firstLine="567"/>
        <w:rPr>
          <w:rFonts w:ascii="Times New Roman" w:hAnsi="Times New Roman"/>
          <w:b/>
          <w:sz w:val="28"/>
          <w:szCs w:val="28"/>
        </w:rPr>
      </w:pPr>
      <w:r>
        <w:rPr>
          <w:rFonts w:ascii="Times New Roman" w:hAnsi="Times New Roman"/>
          <w:b/>
          <w:sz w:val="28"/>
          <w:szCs w:val="28"/>
        </w:rPr>
        <w:t>Основание приобретения и источники средств</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pPr>
        <w:pStyle w:val="ListParagraph"/>
        <w:ind w:left="0" w:firstLine="567"/>
        <w:rPr>
          <w:rFonts w:ascii="Times New Roman" w:hAnsi="Times New Roman"/>
          <w:sz w:val="28"/>
          <w:szCs w:val="28"/>
        </w:rPr>
      </w:pPr>
      <w:r>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Pr>
          <w:rFonts w:ascii="Times New Roman" w:hAnsi="Times New Roman"/>
          <w:b/>
          <w:sz w:val="28"/>
          <w:szCs w:val="28"/>
        </w:rPr>
        <w:t>или</w:t>
      </w:r>
      <w:r>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18" w:tgtFrame="https://lk.rosreestr.ru/eservices/real-estate-objects-online">
        <w:r>
          <w:rPr>
            <w:rStyle w:val="-"/>
            <w:rFonts w:ascii="Times New Roman" w:hAnsi="Times New Roman"/>
            <w:sz w:val="28"/>
            <w:szCs w:val="28"/>
          </w:rPr>
          <w:t>https://lk.rosreestr.ru/eservices/real-estate-objects-online</w:t>
        </w:r>
      </w:hyperlink>
      <w:r>
        <w:rPr>
          <w:rFonts w:ascii="Times New Roman" w:hAnsi="Times New Roman"/>
          <w:sz w:val="28"/>
          <w:szCs w:val="28"/>
        </w:rPr>
        <w:t>).</w:t>
      </w:r>
    </w:p>
    <w:p>
      <w:pPr>
        <w:pStyle w:val="ListParagraph"/>
        <w:ind w:left="0" w:firstLine="567"/>
        <w:rPr>
          <w:rFonts w:ascii="Times New Roman" w:hAnsi="Times New Roman"/>
          <w:sz w:val="28"/>
          <w:szCs w:val="28"/>
        </w:rPr>
      </w:pPr>
      <w:r>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pPr>
        <w:pStyle w:val="ListParagraph"/>
        <w:ind w:left="0" w:firstLine="567"/>
        <w:rPr>
          <w:rFonts w:ascii="Times New Roman" w:hAnsi="Times New Roman"/>
          <w:sz w:val="28"/>
          <w:szCs w:val="28"/>
        </w:rPr>
      </w:pPr>
      <w:r>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Pr>
          <w:rFonts w:ascii="Times New Roman" w:hAnsi="Times New Roman"/>
          <w:sz w:val="28"/>
          <w:szCs w:val="28"/>
          <w:lang w:val="en-US"/>
        </w:rPr>
        <w:t>N</w:t>
      </w:r>
      <w:r>
        <w:rPr>
          <w:rFonts w:ascii="Times New Roman" w:hAnsi="Times New Roman"/>
          <w:sz w:val="28"/>
          <w:szCs w:val="28"/>
        </w:rPr>
        <w:t xml:space="preserve"> от 15.03.1995 г. № 1-345/95 о передаче недвижимого имущества в собственность и др.).</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77:02:0014017:1994-72/004/2023-2 от 27 марта 2023 г.; договор купли-продажи от 19 февраля 2023 г. или иное.</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Обязанность сообщать сведения об </w:t>
      </w:r>
      <w:r>
        <w:rPr>
          <w:rFonts w:ascii="Times New Roman" w:hAnsi="Times New Roman"/>
          <w:b/>
          <w:sz w:val="28"/>
          <w:szCs w:val="28"/>
        </w:rPr>
        <w:t>источнике средств</w:t>
      </w:r>
      <w:r>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Pr>
          <w:rFonts w:ascii="Times New Roman" w:hAnsi="Times New Roman"/>
          <w:b/>
          <w:sz w:val="28"/>
          <w:szCs w:val="28"/>
        </w:rPr>
        <w:t>только</w:t>
      </w:r>
      <w:r>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pPr>
        <w:pStyle w:val="ListParagraph"/>
        <w:ind w:left="0" w:firstLine="567"/>
        <w:rPr>
          <w:rFonts w:ascii="Times New Roman" w:hAnsi="Times New Roman"/>
          <w:sz w:val="28"/>
          <w:szCs w:val="28"/>
        </w:rPr>
      </w:pPr>
      <w:r>
        <w:rPr>
          <w:rFonts w:ascii="Times New Roman" w:hAnsi="Times New Roman"/>
          <w:sz w:val="28"/>
          <w:szCs w:val="28"/>
        </w:rPr>
        <w:t>1) на лиц, замещающих (занимающих):</w:t>
      </w:r>
    </w:p>
    <w:p>
      <w:pPr>
        <w:pStyle w:val="ListParagraph"/>
        <w:ind w:left="0" w:firstLine="567"/>
        <w:rPr>
          <w:rFonts w:ascii="Times New Roman" w:hAnsi="Times New Roman"/>
          <w:sz w:val="28"/>
          <w:szCs w:val="28"/>
        </w:rPr>
      </w:pPr>
      <w:bookmarkStart w:id="2" w:name="Par1"/>
      <w:bookmarkEnd w:id="2"/>
      <w:r>
        <w:rPr>
          <w:rFonts w:ascii="Times New Roman" w:hAnsi="Times New Roman"/>
          <w:sz w:val="28"/>
          <w:szCs w:val="28"/>
        </w:rPr>
        <w:t>государственные должности Российской Федерации;</w:t>
      </w:r>
    </w:p>
    <w:p>
      <w:pPr>
        <w:pStyle w:val="ListParagraph"/>
        <w:ind w:left="0" w:firstLine="567"/>
        <w:rPr>
          <w:rFonts w:ascii="Times New Roman" w:hAnsi="Times New Roman"/>
          <w:sz w:val="28"/>
          <w:szCs w:val="28"/>
        </w:rPr>
      </w:pPr>
      <w:r>
        <w:rPr>
          <w:rFonts w:ascii="Times New Roman" w:hAnsi="Times New Roman"/>
          <w:sz w:val="28"/>
          <w:szCs w:val="28"/>
        </w:rPr>
        <w:t>должности первого заместителя и заместителей Генерального прокурора Российской Федерации;</w:t>
      </w:r>
    </w:p>
    <w:p>
      <w:pPr>
        <w:pStyle w:val="ListParagraph"/>
        <w:ind w:left="0" w:firstLine="567"/>
        <w:rPr>
          <w:rFonts w:ascii="Times New Roman" w:hAnsi="Times New Roman"/>
          <w:sz w:val="28"/>
          <w:szCs w:val="28"/>
        </w:rPr>
      </w:pPr>
      <w:r>
        <w:rPr>
          <w:rFonts w:ascii="Times New Roman" w:hAnsi="Times New Roman"/>
          <w:sz w:val="28"/>
          <w:szCs w:val="28"/>
        </w:rPr>
        <w:t>должности членов Совета директоров Центрального банка Российской Федерации;</w:t>
      </w:r>
    </w:p>
    <w:p>
      <w:pPr>
        <w:pStyle w:val="ListParagraph"/>
        <w:ind w:left="0" w:firstLine="567"/>
        <w:rPr>
          <w:rFonts w:ascii="Times New Roman" w:hAnsi="Times New Roman"/>
          <w:sz w:val="28"/>
          <w:szCs w:val="28"/>
        </w:rPr>
      </w:pPr>
      <w:r>
        <w:rPr>
          <w:rFonts w:ascii="Times New Roman" w:hAnsi="Times New Roman"/>
          <w:sz w:val="28"/>
          <w:szCs w:val="28"/>
        </w:rPr>
        <w:t>государственные должности субъектов Российской Федерации;</w:t>
      </w:r>
    </w:p>
    <w:p>
      <w:pPr>
        <w:pStyle w:val="ListParagraph"/>
        <w:ind w:left="0" w:firstLine="567"/>
        <w:rPr>
          <w:rFonts w:ascii="Times New Roman" w:hAnsi="Times New Roman"/>
          <w:sz w:val="28"/>
          <w:szCs w:val="28"/>
        </w:rPr>
      </w:pPr>
      <w:r>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ListParagraph"/>
        <w:ind w:left="0" w:firstLine="567"/>
        <w:rPr>
          <w:rFonts w:ascii="Times New Roman" w:hAnsi="Times New Roman"/>
          <w:sz w:val="28"/>
          <w:szCs w:val="28"/>
        </w:rPr>
      </w:pPr>
      <w:r>
        <w:rPr>
          <w:rFonts w:ascii="Times New Roman" w:hAnsi="Times New Roman"/>
          <w:sz w:val="28"/>
          <w:szCs w:val="28"/>
        </w:rPr>
        <w:t>должности заместителей руководителей федеральных органов исполнительной власти;</w:t>
      </w:r>
    </w:p>
    <w:p>
      <w:pPr>
        <w:pStyle w:val="ListParagraph"/>
        <w:ind w:left="0" w:firstLine="567"/>
        <w:rPr>
          <w:rFonts w:ascii="Times New Roman" w:hAnsi="Times New Roman"/>
          <w:sz w:val="28"/>
          <w:szCs w:val="28"/>
        </w:rPr>
      </w:pPr>
      <w:r>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ConsPlusNormal"/>
        <w:ind w:firstLine="567"/>
        <w:jc w:val="both"/>
        <w:rPr/>
      </w:pPr>
      <w:bookmarkStart w:id="3" w:name="Par8"/>
      <w:bookmarkEnd w:id="3"/>
      <w:r>
        <w:rP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ConsPlusNormal"/>
        <w:ind w:firstLine="567"/>
        <w:jc w:val="both"/>
        <w:rPr/>
      </w:pPr>
      <w:r>
        <w:rP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pPr>
        <w:pStyle w:val="ListParagraph"/>
        <w:ind w:left="0" w:firstLine="567"/>
        <w:rPr>
          <w:rFonts w:ascii="Times New Roman" w:hAnsi="Times New Roman"/>
          <w:sz w:val="28"/>
          <w:szCs w:val="28"/>
        </w:rPr>
      </w:pPr>
      <w:r>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pPr>
        <w:pStyle w:val="ListParagraph"/>
        <w:ind w:left="0" w:firstLine="567"/>
        <w:rPr>
          <w:rFonts w:ascii="Times New Roman" w:hAnsi="Times New Roman"/>
          <w:sz w:val="28"/>
          <w:szCs w:val="28"/>
        </w:rPr>
      </w:pPr>
      <w:r>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pPr>
        <w:pStyle w:val="ListParagraph"/>
        <w:ind w:left="0" w:firstLine="567"/>
        <w:rPr>
          <w:rFonts w:ascii="Times New Roman" w:hAnsi="Times New Roman"/>
          <w:sz w:val="28"/>
          <w:szCs w:val="28"/>
        </w:rPr>
      </w:pPr>
      <w:r>
        <w:rPr>
          <w:rFonts w:ascii="Times New Roman" w:hAnsi="Times New Roman"/>
          <w:sz w:val="28"/>
          <w:szCs w:val="28"/>
        </w:rPr>
        <w:t>3) иных лиц в случаях, предусмотренных федеральными законами.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Pr>
          <w:rFonts w:ascii="Times New Roman" w:hAnsi="Times New Roman"/>
          <w:b/>
          <w:sz w:val="28"/>
          <w:szCs w:val="28"/>
        </w:rPr>
        <w:t>исключительно</w:t>
      </w:r>
      <w:r>
        <w:rPr>
          <w:rFonts w:ascii="Times New Roman" w:hAnsi="Times New Roman"/>
          <w:sz w:val="28"/>
          <w:szCs w:val="28"/>
        </w:rPr>
        <w:t xml:space="preserve"> за пределами территории Российской Федерации.</w:t>
      </w:r>
    </w:p>
    <w:p>
      <w:pPr>
        <w:pStyle w:val="ListParagraph"/>
        <w:ind w:left="0" w:firstLine="567"/>
        <w:rPr>
          <w:rFonts w:ascii="Times New Roman" w:hAnsi="Times New Roman"/>
          <w:sz w:val="28"/>
          <w:szCs w:val="28"/>
        </w:rPr>
      </w:pPr>
      <w:r>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pPr>
        <w:pStyle w:val="ListParagraph"/>
        <w:numPr>
          <w:ilvl w:val="0"/>
          <w:numId w:val="1"/>
        </w:numPr>
        <w:ind w:left="0" w:firstLine="709"/>
        <w:rPr>
          <w:rFonts w:ascii="Times New Roman" w:hAnsi="Times New Roman"/>
          <w:sz w:val="28"/>
          <w:szCs w:val="28"/>
        </w:rPr>
      </w:pPr>
      <w:r>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p>
    <w:p>
      <w:pPr>
        <w:pStyle w:val="ListParagraph"/>
        <w:ind w:left="0" w:firstLine="567"/>
        <w:rPr>
          <w:rFonts w:ascii="Times New Roman" w:hAnsi="Times New Roman"/>
          <w:b/>
          <w:sz w:val="28"/>
          <w:szCs w:val="28"/>
        </w:rPr>
      </w:pPr>
      <w:r>
        <w:rPr>
          <w:rFonts w:ascii="Times New Roman" w:hAnsi="Times New Roman"/>
          <w:b/>
          <w:sz w:val="28"/>
          <w:szCs w:val="28"/>
        </w:rPr>
        <w:t>Подраздел 3.2. Транспортные средства</w:t>
      </w:r>
    </w:p>
    <w:p>
      <w:pPr>
        <w:pStyle w:val="ListParagraph"/>
        <w:numPr>
          <w:ilvl w:val="0"/>
          <w:numId w:val="1"/>
        </w:numPr>
        <w:ind w:left="0" w:firstLine="567"/>
        <w:rPr>
          <w:rFonts w:ascii="Times New Roman" w:hAnsi="Times New Roman"/>
          <w:sz w:val="28"/>
          <w:szCs w:val="28"/>
        </w:rPr>
      </w:pPr>
      <w:r>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Pr>
          <w:rFonts w:ascii="Times New Roman" w:hAnsi="Times New Roman"/>
          <w:sz w:val="28"/>
          <w:szCs w:val="28"/>
        </w:rPr>
        <w:t>переданные в пользование по доверенности,</w:t>
      </w:r>
      <w:r>
        <w:rPr>
          <w:rFonts w:ascii="Times New Roman" w:hAnsi="Times New Roman"/>
          <w:color w:val="000000"/>
          <w:sz w:val="28"/>
          <w:szCs w:val="28"/>
        </w:rPr>
        <w:t xml:space="preserve"> находящиеся в угоне, в залоге у банка, полностью негодные к </w:t>
      </w:r>
      <w:r>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pPr>
        <w:pStyle w:val="ListParagraph"/>
        <w:ind w:left="0" w:firstLine="567"/>
        <w:rPr>
          <w:rFonts w:ascii="Times New Roman" w:hAnsi="Times New Roman"/>
          <w:sz w:val="28"/>
          <w:szCs w:val="28"/>
        </w:rPr>
      </w:pPr>
      <w:r>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Pr>
          <w:rFonts w:ascii="Times New Roman" w:hAnsi="Times New Roman"/>
          <w:sz w:val="28"/>
          <w:szCs w:val="28"/>
          <w:shd w:fill="FFFFFF" w:val="clear"/>
        </w:rPr>
        <w:t>гражданину, зарегистрированному в качестве индивидуального предпринимателя</w:t>
      </w:r>
      <w:r>
        <w:rPr>
          <w:rFonts w:ascii="Times New Roman" w:hAnsi="Times New Roman"/>
          <w:sz w:val="28"/>
          <w:szCs w:val="28"/>
        </w:rPr>
        <w:t>.</w:t>
      </w:r>
    </w:p>
    <w:p>
      <w:pPr>
        <w:pStyle w:val="ListParagraph"/>
        <w:numPr>
          <w:ilvl w:val="0"/>
          <w:numId w:val="1"/>
        </w:numPr>
        <w:ind w:left="0" w:firstLine="709"/>
        <w:rPr>
          <w:rFonts w:ascii="Times New Roman" w:hAnsi="Times New Roman"/>
          <w:sz w:val="28"/>
          <w:szCs w:val="28"/>
        </w:rPr>
      </w:pPr>
      <w:r>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2023 года включительно продал легковой автомобиль, а новый собственник зарегистрировал такое транспортное средство только в январе 2024 года, то данный объект не подлежит отражению в подразделе 3.2 раздела 3 справки служащего. </w:t>
      </w:r>
      <w:r>
        <w:rPr>
          <w:rFonts w:ascii="Times New Roman" w:hAnsi="Times New Roman"/>
          <w:color w:val="000000"/>
          <w:sz w:val="28"/>
          <w:szCs w:val="28"/>
        </w:rPr>
        <w:t>При заполнении графы</w:t>
      </w:r>
      <w:r>
        <w:rPr>
          <w:rFonts w:ascii="Times New Roman" w:hAnsi="Times New Roman"/>
          <w:b/>
          <w:color w:val="000000"/>
          <w:sz w:val="28"/>
          <w:szCs w:val="28"/>
        </w:rPr>
        <w:t xml:space="preserve"> "Место регистрации" </w:t>
      </w:r>
      <w:r>
        <w:rPr>
          <w:rFonts w:ascii="Times New Roman" w:hAnsi="Times New Roman"/>
          <w:color w:val="000000"/>
          <w:sz w:val="28"/>
          <w:szCs w:val="28"/>
        </w:rPr>
        <w:t xml:space="preserve">указывается наименование органа внутренних дел, осуществившего </w:t>
      </w:r>
      <w:r>
        <w:rPr>
          <w:rFonts w:ascii="Times New Roman" w:hAnsi="Times New Roman"/>
          <w:sz w:val="28"/>
          <w:szCs w:val="28"/>
        </w:rPr>
        <w:t xml:space="preserve">регистрационный учет транспортного средства, например </w:t>
      </w:r>
      <w:hyperlink r:id="rId19" w:tgtFrame="https://www.gibdd.ru/r/77/contacts/div1145039/">
        <w:r>
          <w:rPr>
            <w:rFonts w:eastAsia="Times New Roman" w:ascii="Times New Roman" w:hAnsi="Times New Roman"/>
            <w:bCs/>
            <w:sz w:val="28"/>
            <w:szCs w:val="28"/>
            <w:lang w:eastAsia="ru-RU"/>
          </w:rPr>
          <w:t>МО ГИБДД ТНРЭР № 2 ГУ МВД России по г. Москве</w:t>
        </w:r>
      </w:hyperlink>
      <w:r>
        <w:rPr>
          <w:rFonts w:eastAsia="Times New Roman" w:ascii="Times New Roman" w:hAnsi="Times New Roman"/>
          <w:sz w:val="28"/>
          <w:szCs w:val="28"/>
          <w:lang w:eastAsia="ru-RU"/>
        </w:rPr>
        <w:t xml:space="preserve">, </w:t>
      </w:r>
      <w:hyperlink r:id="rId20" w:tgtFrame="https://www.gibdd.ru/r/66/contacts/div1165058/">
        <w:r>
          <w:rPr>
            <w:rFonts w:eastAsia="Times New Roman" w:ascii="Times New Roman" w:hAnsi="Times New Roman"/>
            <w:bCs/>
            <w:sz w:val="28"/>
            <w:szCs w:val="28"/>
            <w:lang w:eastAsia="ru-RU"/>
          </w:rPr>
          <w:t>ОГИБДД ММО МВД России "Шалинский</w:t>
        </w:r>
      </w:hyperlink>
      <w:r>
        <w:rPr>
          <w:rFonts w:eastAsia="Times New Roman" w:ascii="Times New Roman" w:hAnsi="Times New Roman"/>
          <w:sz w:val="28"/>
          <w:szCs w:val="28"/>
          <w:lang w:eastAsia="ru-RU"/>
        </w:rPr>
        <w:t xml:space="preserve">", </w:t>
      </w:r>
      <w:hyperlink r:id="rId21" w:tgtFrame="https://www.gibdd.ru/r/66/contacts/div1165043/">
        <w:r>
          <w:rPr>
            <w:rFonts w:eastAsia="Times New Roman" w:ascii="Times New Roman" w:hAnsi="Times New Roman"/>
            <w:bCs/>
            <w:sz w:val="28"/>
            <w:szCs w:val="28"/>
            <w:lang w:eastAsia="ru-RU"/>
          </w:rPr>
          <w:t>ОГИБДД ММО МВД России по Новолялинскому району</w:t>
        </w:r>
      </w:hyperlink>
      <w:r>
        <w:rPr>
          <w:rFonts w:eastAsia="Times New Roman" w:ascii="Times New Roman" w:hAnsi="Times New Roman"/>
          <w:sz w:val="28"/>
          <w:szCs w:val="28"/>
          <w:lang w:eastAsia="ru-RU"/>
        </w:rPr>
        <w:t xml:space="preserve">, </w:t>
      </w:r>
      <w:r>
        <w:rPr>
          <w:rFonts w:ascii="Times New Roman" w:hAnsi="Times New Roman"/>
          <w:sz w:val="28"/>
          <w:szCs w:val="28"/>
        </w:rPr>
        <w:t>3 отд. МОТОТРЭР ГИБДД УВД по ЦАО г. Москвы</w:t>
      </w:r>
      <w:r>
        <w:rPr>
          <w:rFonts w:eastAsia="Times New Roman" w:ascii="Times New Roman" w:hAnsi="Times New Roman"/>
          <w:sz w:val="28"/>
          <w:szCs w:val="28"/>
          <w:lang w:eastAsia="ru-RU"/>
        </w:rPr>
        <w:t xml:space="preserve"> и т.д. Указанные данные заполняются </w:t>
      </w:r>
      <w:r>
        <w:rPr>
          <w:rFonts w:ascii="Times New Roman" w:hAnsi="Times New Roman"/>
          <w:color w:val="000000"/>
          <w:sz w:val="28"/>
          <w:szCs w:val="28"/>
        </w:rPr>
        <w:t>согласно официальным документам (например,</w:t>
      </w:r>
      <w:r>
        <w:rPr>
          <w:rFonts w:eastAsia="Times New Roman" w:ascii="Times New Roman" w:hAnsi="Times New Roman"/>
          <w:sz w:val="28"/>
          <w:szCs w:val="28"/>
          <w:lang w:eastAsia="ru-RU"/>
        </w:rPr>
        <w:t xml:space="preserve"> </w:t>
      </w:r>
      <w:r>
        <w:rPr>
          <w:rFonts w:ascii="Times New Roman" w:hAnsi="Times New Roman"/>
          <w:color w:val="000000"/>
          <w:sz w:val="28"/>
          <w:szCs w:val="28"/>
        </w:rPr>
        <w:t xml:space="preserve">согласно </w:t>
      </w:r>
      <w:r>
        <w:rPr>
          <w:rFonts w:ascii="Times New Roman" w:hAnsi="Times New Roman"/>
          <w:sz w:val="28"/>
          <w:szCs w:val="28"/>
        </w:rPr>
        <w:t>паспорту транспортного средства).</w:t>
      </w:r>
    </w:p>
    <w:p>
      <w:pPr>
        <w:pStyle w:val="ListParagraph"/>
        <w:ind w:left="0" w:firstLine="567"/>
        <w:rPr>
          <w:rFonts w:ascii="Times New Roman" w:hAnsi="Times New Roman"/>
          <w:sz w:val="28"/>
          <w:szCs w:val="28"/>
        </w:rPr>
      </w:pPr>
      <w:r>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pPr>
        <w:pStyle w:val="ListParagraph"/>
        <w:ind w:left="0" w:firstLine="567"/>
        <w:rPr>
          <w:rFonts w:ascii="Times New Roman" w:hAnsi="Times New Roman"/>
          <w:sz w:val="28"/>
          <w:szCs w:val="28"/>
        </w:rPr>
      </w:pPr>
      <w:r>
        <w:rPr>
          <w:rFonts w:ascii="Times New Roman" w:hAnsi="Times New Roman"/>
          <w:sz w:val="28"/>
          <w:szCs w:val="28"/>
        </w:rPr>
        <w:t xml:space="preserve">В случае отсутствия регистрации допускается указать "Отсутствует".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"Иные транспортные средства"</w:t>
      </w:r>
      <w:r>
        <w:rPr>
          <w:rFonts w:ascii="Times New Roman" w:hAnsi="Times New Roman"/>
          <w:sz w:val="28"/>
          <w:szCs w:val="28"/>
        </w:rPr>
        <w:t xml:space="preserve"> подлежат указанию, в частности, прицепы, зарегистрированные в установленном порядке.</w:t>
      </w:r>
    </w:p>
    <w:p>
      <w:pPr>
        <w:pStyle w:val="ListParagraph"/>
        <w:ind w:left="0" w:firstLine="567"/>
        <w:rPr>
          <w:rFonts w:ascii="Times New Roman" w:hAnsi="Times New Roman"/>
          <w:sz w:val="28"/>
          <w:szCs w:val="28"/>
        </w:rPr>
      </w:pPr>
      <w:r>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pPr>
        <w:pStyle w:val="Normal"/>
        <w:ind w:firstLine="567"/>
        <w:rPr>
          <w:rFonts w:ascii="Times New Roman" w:hAnsi="Times New Roman"/>
          <w:b/>
          <w:sz w:val="28"/>
          <w:szCs w:val="28"/>
        </w:rPr>
      </w:pPr>
      <w:r>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pPr>
        <w:pStyle w:val="ListParagraph"/>
        <w:widowControl w:val="false"/>
        <w:numPr>
          <w:ilvl w:val="0"/>
          <w:numId w:val="1"/>
        </w:numPr>
        <w:ind w:left="0"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pPr>
        <w:pStyle w:val="ListParagraph"/>
        <w:widowControl w:val="false"/>
        <w:numPr>
          <w:ilvl w:val="0"/>
          <w:numId w:val="1"/>
        </w:numPr>
        <w:ind w:left="0" w:firstLine="567"/>
        <w:rPr>
          <w:rStyle w:val="Style13"/>
          <w:rFonts w:ascii="Times New Roman" w:hAnsi="Times New Roman" w:cs="Times New Roman"/>
          <w:b/>
          <w:sz w:val="28"/>
          <w:szCs w:val="28"/>
          <w:shd w:fill="auto" w:val="clear"/>
        </w:rPr>
      </w:pPr>
      <w:r>
        <w:rPr>
          <w:rStyle w:val="Style13"/>
          <w:rFonts w:cs="Times New Roman" w:ascii="Times New Roman" w:hAnsi="Times New Roman"/>
          <w:sz w:val="28"/>
          <w:szCs w:val="28"/>
          <w:shd w:fill="auto" w:val="clear"/>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pPr>
        <w:pStyle w:val="Normal"/>
        <w:widowControl w:val="false"/>
        <w:ind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pPr>
        <w:pStyle w:val="ListParagraph"/>
        <w:widowControl w:val="false"/>
        <w:numPr>
          <w:ilvl w:val="0"/>
          <w:numId w:val="1"/>
        </w:numPr>
        <w:ind w:left="0" w:firstLine="567"/>
        <w:rPr>
          <w:rStyle w:val="Style13"/>
          <w:rFonts w:ascii="Times New Roman" w:hAnsi="Times New Roman" w:cs="Times New Roman"/>
          <w:b/>
          <w:sz w:val="28"/>
          <w:szCs w:val="28"/>
          <w:shd w:fill="auto" w:val="clear"/>
        </w:rPr>
      </w:pPr>
      <w:r>
        <w:rPr>
          <w:rStyle w:val="Style13"/>
          <w:rFonts w:cs="Times New Roman" w:ascii="Times New Roman" w:hAnsi="Times New Roman"/>
          <w:sz w:val="28"/>
          <w:szCs w:val="28"/>
          <w:shd w:fill="auto" w:val="clear"/>
        </w:rPr>
        <w:t xml:space="preserve">В графе </w:t>
      </w:r>
      <w:r>
        <w:rPr>
          <w:rStyle w:val="Style13"/>
          <w:rFonts w:ascii="Times New Roman" w:hAnsi="Times New Roman"/>
          <w:b/>
          <w:sz w:val="28"/>
          <w:shd w:fill="auto" w:val="clear"/>
        </w:rPr>
        <w:t>"</w:t>
      </w:r>
      <w:r>
        <w:rPr>
          <w:rStyle w:val="Style13"/>
          <w:rFonts w:cs="Times New Roman" w:ascii="Times New Roman" w:hAnsi="Times New Roman"/>
          <w:b/>
          <w:sz w:val="28"/>
          <w:szCs w:val="28"/>
          <w:shd w:fill="auto" w:val="clear"/>
        </w:rPr>
        <w:t>Наименование цифрового финансового актива или цифрового права</w:t>
      </w:r>
      <w:r>
        <w:rPr>
          <w:rStyle w:val="Style13"/>
          <w:rFonts w:ascii="Times New Roman" w:hAnsi="Times New Roman"/>
          <w:b/>
          <w:sz w:val="28"/>
          <w:shd w:fill="auto" w:val="clear"/>
        </w:rPr>
        <w:t>"</w:t>
      </w:r>
      <w:r>
        <w:rPr>
          <w:rStyle w:val="Style13"/>
          <w:rFonts w:cs="Times New Roman" w:ascii="Times New Roman" w:hAnsi="Times New Roman"/>
          <w:sz w:val="28"/>
          <w:szCs w:val="28"/>
          <w:shd w:fill="auto" w:val="clear"/>
        </w:rPr>
        <w:t xml:space="preserve">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pPr>
        <w:pStyle w:val="ListParagraph"/>
        <w:widowControl w:val="false"/>
        <w:numPr>
          <w:ilvl w:val="0"/>
          <w:numId w:val="1"/>
        </w:numPr>
        <w:ind w:left="0" w:firstLine="567"/>
        <w:rPr>
          <w:rStyle w:val="Style13"/>
          <w:rFonts w:ascii="Times New Roman" w:hAnsi="Times New Roman" w:cs="Times New Roman"/>
          <w:b/>
          <w:sz w:val="28"/>
          <w:szCs w:val="28"/>
          <w:shd w:fill="auto" w:val="clear"/>
        </w:rPr>
      </w:pPr>
      <w:r>
        <w:rPr>
          <w:rStyle w:val="Style13"/>
          <w:rFonts w:cs="Times New Roman" w:ascii="Times New Roman" w:hAnsi="Times New Roman"/>
          <w:sz w:val="28"/>
          <w:szCs w:val="28"/>
          <w:shd w:fill="auto" w:val="clear"/>
        </w:rPr>
        <w:t xml:space="preserve">В графе </w:t>
      </w:r>
      <w:r>
        <w:rPr>
          <w:rStyle w:val="Style13"/>
          <w:rFonts w:ascii="Times New Roman" w:hAnsi="Times New Roman"/>
          <w:b/>
          <w:sz w:val="28"/>
          <w:shd w:fill="auto" w:val="clear"/>
        </w:rPr>
        <w:t>"</w:t>
      </w:r>
      <w:r>
        <w:rPr>
          <w:rStyle w:val="Style13"/>
          <w:rFonts w:cs="Times New Roman" w:ascii="Times New Roman" w:hAnsi="Times New Roman"/>
          <w:b/>
          <w:sz w:val="28"/>
          <w:szCs w:val="28"/>
          <w:shd w:fill="auto" w:val="clear"/>
        </w:rPr>
        <w:t>Дата приобретения</w:t>
      </w:r>
      <w:r>
        <w:rPr>
          <w:rStyle w:val="Style13"/>
          <w:rFonts w:ascii="Times New Roman" w:hAnsi="Times New Roman"/>
          <w:b/>
          <w:sz w:val="28"/>
          <w:shd w:fill="auto" w:val="clear"/>
        </w:rPr>
        <w:t>"</w:t>
      </w:r>
      <w:r>
        <w:rPr>
          <w:rStyle w:val="Style13"/>
          <w:rFonts w:cs="Times New Roman" w:ascii="Times New Roman" w:hAnsi="Times New Roman"/>
          <w:sz w:val="28"/>
          <w:szCs w:val="28"/>
          <w:shd w:fill="auto" w:val="clear"/>
        </w:rPr>
        <w:t xml:space="preserve"> указывается дата приобретения цифрового финансового актива</w:t>
      </w:r>
      <w:r>
        <w:rPr>
          <w:rFonts w:ascii="Times New Roman" w:hAnsi="Times New Roman"/>
          <w:sz w:val="28"/>
          <w:szCs w:val="28"/>
        </w:rPr>
        <w:t>, цифрового права, включающего одновременно цифровые финансовые активы и иные цифровые права,</w:t>
      </w:r>
      <w:r>
        <w:rPr>
          <w:rStyle w:val="Style13"/>
          <w:rFonts w:cs="Times New Roman" w:ascii="Times New Roman" w:hAnsi="Times New Roman"/>
          <w:sz w:val="28"/>
          <w:szCs w:val="28"/>
          <w:shd w:fill="auto" w:val="clear"/>
        </w:rPr>
        <w:t xml:space="preserve"> или иного цифрового права.</w:t>
      </w:r>
    </w:p>
    <w:p>
      <w:pPr>
        <w:pStyle w:val="ListParagraph"/>
        <w:widowControl w:val="false"/>
        <w:numPr>
          <w:ilvl w:val="0"/>
          <w:numId w:val="1"/>
        </w:numPr>
        <w:ind w:left="0"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 xml:space="preserve">В графе </w:t>
      </w:r>
      <w:r>
        <w:rPr>
          <w:rStyle w:val="Style13"/>
          <w:rFonts w:ascii="Times New Roman" w:hAnsi="Times New Roman"/>
          <w:b/>
          <w:sz w:val="28"/>
          <w:shd w:fill="auto" w:val="clear"/>
        </w:rPr>
        <w:t>"</w:t>
      </w:r>
      <w:r>
        <w:rPr>
          <w:rStyle w:val="Style13"/>
          <w:rFonts w:cs="Times New Roman" w:ascii="Times New Roman" w:hAnsi="Times New Roman"/>
          <w:b/>
          <w:sz w:val="28"/>
          <w:szCs w:val="28"/>
          <w:shd w:fill="auto" w:val="clear"/>
        </w:rPr>
        <w:t>Общее количество</w:t>
      </w:r>
      <w:r>
        <w:rPr>
          <w:rStyle w:val="Style13"/>
          <w:rFonts w:ascii="Times New Roman" w:hAnsi="Times New Roman"/>
          <w:b/>
          <w:sz w:val="28"/>
          <w:shd w:fill="auto" w:val="clear"/>
        </w:rPr>
        <w:t>"</w:t>
      </w:r>
      <w:r>
        <w:rPr>
          <w:rStyle w:val="Style13"/>
          <w:rFonts w:cs="Times New Roman" w:ascii="Times New Roman" w:hAnsi="Times New Roman"/>
          <w:sz w:val="28"/>
          <w:szCs w:val="28"/>
          <w:shd w:fill="auto" w:val="clear"/>
        </w:rPr>
        <w:t xml:space="preserve"> указывается общее количество приобретенных цифровых финансовых активов</w:t>
      </w:r>
      <w:r>
        <w:rPr>
          <w:rFonts w:ascii="Times New Roman" w:hAnsi="Times New Roman"/>
          <w:sz w:val="28"/>
          <w:szCs w:val="28"/>
        </w:rPr>
        <w:t>, цифровых прав, включающих одновременно цифровые финансовые активы и иные цифровые права,</w:t>
      </w:r>
      <w:r>
        <w:rPr>
          <w:rStyle w:val="Style13"/>
          <w:rFonts w:cs="Times New Roman" w:ascii="Times New Roman" w:hAnsi="Times New Roman"/>
          <w:sz w:val="28"/>
          <w:szCs w:val="28"/>
          <w:shd w:fill="auto" w:val="clear"/>
        </w:rPr>
        <w:t xml:space="preserve"> или цифровых прав.</w:t>
      </w:r>
    </w:p>
    <w:p>
      <w:pPr>
        <w:pStyle w:val="ListParagraph"/>
        <w:widowControl w:val="false"/>
        <w:numPr>
          <w:ilvl w:val="0"/>
          <w:numId w:val="1"/>
        </w:numPr>
        <w:ind w:left="0" w:firstLine="567"/>
        <w:rPr>
          <w:rStyle w:val="Style13"/>
          <w:rFonts w:ascii="Times New Roman" w:hAnsi="Times New Roman" w:cs="Times New Roman"/>
          <w:b/>
          <w:sz w:val="28"/>
          <w:szCs w:val="28"/>
          <w:shd w:fill="auto" w:val="clear"/>
        </w:rPr>
      </w:pPr>
      <w:r>
        <w:rPr>
          <w:rStyle w:val="Style13"/>
          <w:rFonts w:cs="Times New Roman" w:ascii="Times New Roman" w:hAnsi="Times New Roman"/>
          <w:sz w:val="28"/>
          <w:szCs w:val="28"/>
          <w:shd w:fill="auto" w:val="clear"/>
        </w:rPr>
        <w:t xml:space="preserve">В графе </w:t>
      </w:r>
      <w:r>
        <w:rPr>
          <w:rStyle w:val="Style13"/>
          <w:rFonts w:ascii="Times New Roman" w:hAnsi="Times New Roman"/>
          <w:b/>
          <w:sz w:val="28"/>
          <w:shd w:fill="auto" w:val="clear"/>
        </w:rPr>
        <w:t>"</w:t>
      </w:r>
      <w:r>
        <w:rPr>
          <w:rStyle w:val="Style13"/>
          <w:rFonts w:cs="Times New Roman" w:ascii="Times New Roman" w:hAnsi="Times New Roman"/>
          <w:b/>
          <w:sz w:val="28"/>
          <w:szCs w:val="28"/>
          <w:shd w:fill="auto" w:val="clear"/>
        </w:rPr>
        <w:t>Сведения об операторе информационной системы, в которой осуществляется выпуск цифровых финансовых активов</w:t>
      </w:r>
      <w:r>
        <w:rPr>
          <w:rStyle w:val="Style13"/>
          <w:rFonts w:ascii="Times New Roman" w:hAnsi="Times New Roman"/>
          <w:b/>
          <w:sz w:val="28"/>
          <w:shd w:fill="auto" w:val="clear"/>
        </w:rPr>
        <w:t>"</w:t>
      </w:r>
      <w:r>
        <w:rPr>
          <w:rStyle w:val="Style13"/>
          <w:rFonts w:cs="Times New Roman" w:ascii="Times New Roman" w:hAnsi="Times New Roman"/>
          <w:sz w:val="28"/>
          <w:szCs w:val="28"/>
          <w:shd w:fill="auto" w:val="clear"/>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pPr>
        <w:pStyle w:val="ListParagraph"/>
        <w:widowControl w:val="false"/>
        <w:numPr>
          <w:ilvl w:val="0"/>
          <w:numId w:val="1"/>
        </w:numPr>
        <w:ind w:left="0"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 xml:space="preserve">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w:t>
      </w:r>
      <w:hyperlink r:id="rId22">
        <w:r>
          <w:rPr>
            <w:rStyle w:val="-"/>
            <w:rFonts w:ascii="Times New Roman" w:hAnsi="Times New Roman"/>
            <w:sz w:val="28"/>
            <w:szCs w:val="28"/>
          </w:rPr>
          <w:t>https://cbr.ru/vfs/registers/infr/list_OIS.xlsx</w:t>
        </w:r>
      </w:hyperlink>
      <w:r>
        <w:rPr>
          <w:rStyle w:val="Style13"/>
          <w:rFonts w:cs="Times New Roman" w:ascii="Times New Roman" w:hAnsi="Times New Roman"/>
          <w:sz w:val="28"/>
          <w:szCs w:val="28"/>
          <w:shd w:fill="auto" w:val="clear"/>
        </w:rPr>
        <w:t>.</w:t>
      </w:r>
    </w:p>
    <w:p>
      <w:pPr>
        <w:pStyle w:val="Normal"/>
        <w:ind w:firstLine="567"/>
        <w:rPr>
          <w:rFonts w:ascii="Times New Roman" w:hAnsi="Times New Roman"/>
          <w:sz w:val="28"/>
          <w:szCs w:val="28"/>
        </w:rPr>
      </w:pPr>
      <w:r>
        <w:rPr>
          <w:rFonts w:ascii="Times New Roman" w:hAnsi="Times New Roman"/>
          <w:b/>
          <w:sz w:val="28"/>
          <w:szCs w:val="28"/>
        </w:rPr>
        <w:t>Подраздел 3.4. Утилитарные цифровые права</w:t>
      </w:r>
    </w:p>
    <w:p>
      <w:pPr>
        <w:pStyle w:val="ListParagraph"/>
        <w:widowControl w:val="false"/>
        <w:numPr>
          <w:ilvl w:val="0"/>
          <w:numId w:val="1"/>
        </w:numPr>
        <w:ind w:left="0" w:firstLine="567"/>
        <w:rPr>
          <w:rStyle w:val="Style13"/>
          <w:rFonts w:ascii="Times New Roman" w:hAnsi="Times New Roman" w:cs="Times New Roman"/>
          <w:b/>
          <w:sz w:val="28"/>
          <w:szCs w:val="28"/>
          <w:shd w:fill="auto" w:val="clear"/>
        </w:rPr>
      </w:pPr>
      <w:r>
        <w:rPr>
          <w:rStyle w:val="Style13"/>
          <w:rFonts w:cs="Times New Roman" w:ascii="Times New Roman" w:hAnsi="Times New Roman"/>
          <w:sz w:val="28"/>
          <w:szCs w:val="28"/>
          <w:shd w:fill="auto" w:val="clear"/>
        </w:rPr>
        <w:t xml:space="preserve">Частью 1 статьи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(утилитарные цифровые права): </w:t>
      </w:r>
    </w:p>
    <w:p>
      <w:pPr>
        <w:pStyle w:val="ListParagraph"/>
        <w:widowControl w:val="false"/>
        <w:ind w:left="0"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 xml:space="preserve">1) право требовать передачи вещи (вещей) (например, право требования золота в слитках при инвестировании в добычу золота); </w:t>
      </w:r>
    </w:p>
    <w:p>
      <w:pPr>
        <w:pStyle w:val="ListParagraph"/>
        <w:widowControl w:val="false"/>
        <w:ind w:left="0"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 </w:t>
      </w:r>
    </w:p>
    <w:p>
      <w:pPr>
        <w:pStyle w:val="ListParagraph"/>
        <w:widowControl w:val="false"/>
        <w:tabs>
          <w:tab w:val="clear" w:pos="709"/>
          <w:tab w:val="left" w:pos="142" w:leader="none"/>
        </w:tabs>
        <w:ind w:left="0"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 xml:space="preserve">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 </w:t>
      </w:r>
    </w:p>
    <w:p>
      <w:pPr>
        <w:pStyle w:val="ListParagraph"/>
        <w:widowControl w:val="false"/>
        <w:numPr>
          <w:ilvl w:val="0"/>
          <w:numId w:val="1"/>
        </w:numPr>
        <w:tabs>
          <w:tab w:val="clear" w:pos="709"/>
          <w:tab w:val="left" w:pos="142" w:leader="none"/>
        </w:tabs>
        <w:ind w:left="0"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Приобретение утилитарных цифровых прав является одним из способов инвестирования с использованием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pPr>
        <w:pStyle w:val="ListParagraph"/>
        <w:widowControl w:val="false"/>
        <w:numPr>
          <w:ilvl w:val="0"/>
          <w:numId w:val="1"/>
        </w:numPr>
        <w:tabs>
          <w:tab w:val="clear" w:pos="709"/>
          <w:tab w:val="left" w:pos="142" w:leader="none"/>
        </w:tabs>
        <w:ind w:left="0" w:firstLine="567"/>
        <w:rPr>
          <w:rStyle w:val="Style13"/>
          <w:rFonts w:ascii="Times New Roman" w:hAnsi="Times New Roman" w:cs="Times New Roman"/>
          <w:b/>
          <w:sz w:val="28"/>
          <w:szCs w:val="28"/>
          <w:shd w:fill="auto" w:val="clear"/>
        </w:rPr>
      </w:pPr>
      <w:r>
        <w:rPr>
          <w:rStyle w:val="Style13"/>
          <w:rFonts w:cs="Times New Roman" w:ascii="Times New Roman" w:hAnsi="Times New Roman"/>
          <w:sz w:val="28"/>
          <w:szCs w:val="28"/>
          <w:shd w:fill="auto" w:val="clear"/>
        </w:rPr>
        <w:t xml:space="preserve">В графе </w:t>
      </w:r>
      <w:r>
        <w:rPr>
          <w:rStyle w:val="Style13"/>
          <w:rFonts w:ascii="Times New Roman" w:hAnsi="Times New Roman"/>
          <w:b/>
          <w:sz w:val="28"/>
          <w:shd w:fill="auto" w:val="clear"/>
        </w:rPr>
        <w:t>"</w:t>
      </w:r>
      <w:r>
        <w:rPr>
          <w:rStyle w:val="Style13"/>
          <w:rFonts w:cs="Times New Roman" w:ascii="Times New Roman" w:hAnsi="Times New Roman"/>
          <w:b/>
          <w:sz w:val="28"/>
          <w:szCs w:val="28"/>
          <w:shd w:fill="auto" w:val="clear"/>
        </w:rPr>
        <w:t>Уникальное условное обозначение</w:t>
      </w:r>
      <w:r>
        <w:rPr>
          <w:rStyle w:val="Style13"/>
          <w:rFonts w:ascii="Times New Roman" w:hAnsi="Times New Roman"/>
          <w:b/>
          <w:sz w:val="28"/>
          <w:shd w:fill="auto" w:val="clear"/>
        </w:rPr>
        <w:t>"</w:t>
      </w:r>
      <w:r>
        <w:rPr>
          <w:rStyle w:val="Style13"/>
          <w:rFonts w:cs="Times New Roman" w:ascii="Times New Roman" w:hAnsi="Times New Roman"/>
          <w:sz w:val="28"/>
          <w:szCs w:val="28"/>
          <w:shd w:fill="auto" w:val="clear"/>
        </w:rPr>
        <w:t xml:space="preserve"> указывается уникальное условное обозначение, идентифицирующее утилитарное цифровое право.</w:t>
      </w:r>
    </w:p>
    <w:p>
      <w:pPr>
        <w:pStyle w:val="ListParagraph"/>
        <w:widowControl w:val="false"/>
        <w:numPr>
          <w:ilvl w:val="0"/>
          <w:numId w:val="1"/>
        </w:numPr>
        <w:tabs>
          <w:tab w:val="clear" w:pos="709"/>
          <w:tab w:val="left" w:pos="142" w:leader="none"/>
        </w:tabs>
        <w:ind w:left="0"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 xml:space="preserve">В графе </w:t>
      </w:r>
      <w:r>
        <w:rPr>
          <w:rStyle w:val="Style13"/>
          <w:rFonts w:ascii="Times New Roman" w:hAnsi="Times New Roman"/>
          <w:b/>
          <w:sz w:val="28"/>
          <w:shd w:fill="auto" w:val="clear"/>
        </w:rPr>
        <w:t>"</w:t>
      </w:r>
      <w:r>
        <w:rPr>
          <w:rStyle w:val="Style13"/>
          <w:rFonts w:cs="Times New Roman" w:ascii="Times New Roman" w:hAnsi="Times New Roman"/>
          <w:b/>
          <w:sz w:val="28"/>
          <w:szCs w:val="28"/>
          <w:shd w:fill="auto" w:val="clear"/>
        </w:rPr>
        <w:t>Дата приобретения</w:t>
      </w:r>
      <w:r>
        <w:rPr>
          <w:rStyle w:val="Style13"/>
          <w:rFonts w:ascii="Times New Roman" w:hAnsi="Times New Roman"/>
          <w:b/>
          <w:sz w:val="28"/>
          <w:shd w:fill="auto" w:val="clear"/>
        </w:rPr>
        <w:t>"</w:t>
      </w:r>
      <w:r>
        <w:rPr>
          <w:rStyle w:val="Style13"/>
          <w:rFonts w:cs="Times New Roman" w:ascii="Times New Roman" w:hAnsi="Times New Roman"/>
          <w:sz w:val="28"/>
          <w:szCs w:val="28"/>
          <w:shd w:fill="auto" w:val="clear"/>
        </w:rPr>
        <w:t xml:space="preserve"> указывается дата приобретения утилитарного цифрового права.</w:t>
      </w:r>
    </w:p>
    <w:p>
      <w:pPr>
        <w:pStyle w:val="ListParagraph"/>
        <w:widowControl w:val="false"/>
        <w:numPr>
          <w:ilvl w:val="0"/>
          <w:numId w:val="1"/>
        </w:numPr>
        <w:ind w:left="0" w:firstLine="567"/>
        <w:rPr>
          <w:rStyle w:val="Style13"/>
          <w:rFonts w:ascii="Times New Roman" w:hAnsi="Times New Roman" w:cs="Times New Roman"/>
          <w:b/>
          <w:sz w:val="28"/>
          <w:szCs w:val="28"/>
          <w:shd w:fill="auto" w:val="clear"/>
        </w:rPr>
      </w:pPr>
      <w:r>
        <w:rPr>
          <w:rStyle w:val="Style13"/>
          <w:rFonts w:cs="Times New Roman" w:ascii="Times New Roman" w:hAnsi="Times New Roman"/>
          <w:sz w:val="28"/>
          <w:szCs w:val="28"/>
          <w:shd w:fill="auto" w:val="clear"/>
        </w:rPr>
        <w:t xml:space="preserve">В графе </w:t>
      </w:r>
      <w:r>
        <w:rPr>
          <w:rStyle w:val="Style13"/>
          <w:rFonts w:ascii="Times New Roman" w:hAnsi="Times New Roman"/>
          <w:b/>
          <w:sz w:val="28"/>
          <w:shd w:fill="auto" w:val="clear"/>
        </w:rPr>
        <w:t>"</w:t>
      </w:r>
      <w:r>
        <w:rPr>
          <w:rStyle w:val="Style13"/>
          <w:rFonts w:cs="Times New Roman" w:ascii="Times New Roman" w:hAnsi="Times New Roman"/>
          <w:b/>
          <w:sz w:val="28"/>
          <w:szCs w:val="28"/>
          <w:shd w:fill="auto" w:val="clear"/>
        </w:rPr>
        <w:t>Объем инвестиций (руб.)</w:t>
      </w:r>
      <w:r>
        <w:rPr>
          <w:rStyle w:val="Style13"/>
          <w:rFonts w:ascii="Times New Roman" w:hAnsi="Times New Roman"/>
          <w:b/>
          <w:sz w:val="28"/>
          <w:shd w:fill="auto" w:val="clear"/>
        </w:rPr>
        <w:t>"</w:t>
      </w:r>
      <w:r>
        <w:rPr>
          <w:rStyle w:val="Style13"/>
          <w:rFonts w:cs="Times New Roman" w:ascii="Times New Roman" w:hAnsi="Times New Roman"/>
          <w:sz w:val="28"/>
          <w:szCs w:val="28"/>
          <w:shd w:fill="auto" w:val="clear"/>
        </w:rPr>
        <w:t xml:space="preserve"> указывается объем инвестиций в рублях в соответствии с договором инвестирования.</w:t>
      </w:r>
      <w:r>
        <w:rPr>
          <w:rFonts w:ascii="Times New Roman" w:hAnsi="Times New Roman"/>
          <w:sz w:val="28"/>
          <w:szCs w:val="28"/>
        </w:rPr>
        <w:t xml:space="preserve"> </w:t>
      </w:r>
      <w:r>
        <w:rPr>
          <w:rStyle w:val="Style13"/>
          <w:rFonts w:cs="Times New Roman" w:ascii="Times New Roman" w:hAnsi="Times New Roman"/>
          <w:sz w:val="28"/>
          <w:szCs w:val="28"/>
          <w:shd w:fill="auto" w:val="clear"/>
        </w:rPr>
        <w:t xml:space="preserve">Инвестиции, выраженные в иностранной валюте, указываются в рублях по курсу Банка России на дату их осуществления </w:t>
      </w:r>
      <w:r>
        <w:rPr>
          <w:rFonts w:eastAsia="Times New Roman" w:ascii="Times New Roman" w:hAnsi="Times New Roman"/>
          <w:sz w:val="28"/>
          <w:szCs w:val="28"/>
          <w:lang w:eastAsia="ru-RU"/>
        </w:rPr>
        <w:t>(с учетом положений пункта 54 настоящих Методических рекомендаций)</w:t>
      </w:r>
      <w:r>
        <w:rPr>
          <w:rStyle w:val="Style13"/>
          <w:rFonts w:cs="Times New Roman" w:ascii="Times New Roman" w:hAnsi="Times New Roman"/>
          <w:sz w:val="28"/>
          <w:szCs w:val="28"/>
          <w:shd w:fill="auto" w:val="clear"/>
        </w:rPr>
        <w:t>.</w:t>
      </w:r>
    </w:p>
    <w:p>
      <w:pPr>
        <w:pStyle w:val="Normal"/>
        <w:widowControl w:val="false"/>
        <w:ind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Под инвестициями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pPr>
        <w:pStyle w:val="ListParagraph"/>
        <w:widowControl w:val="false"/>
        <w:numPr>
          <w:ilvl w:val="0"/>
          <w:numId w:val="1"/>
        </w:numPr>
        <w:ind w:left="0" w:firstLine="567"/>
        <w:rPr>
          <w:rStyle w:val="Style13"/>
          <w:rFonts w:ascii="Times New Roman" w:hAnsi="Times New Roman" w:cs="Times New Roman"/>
          <w:b/>
          <w:sz w:val="28"/>
          <w:szCs w:val="28"/>
          <w:shd w:fill="auto" w:val="clear"/>
        </w:rPr>
      </w:pPr>
      <w:r>
        <w:rPr>
          <w:rStyle w:val="Style13"/>
          <w:rFonts w:cs="Times New Roman" w:ascii="Times New Roman" w:hAnsi="Times New Roman"/>
          <w:sz w:val="28"/>
          <w:szCs w:val="28"/>
          <w:shd w:fill="auto" w:val="clear"/>
        </w:rPr>
        <w:t xml:space="preserve">В графе </w:t>
      </w:r>
      <w:r>
        <w:rPr>
          <w:rStyle w:val="Style13"/>
          <w:rFonts w:ascii="Times New Roman" w:hAnsi="Times New Roman"/>
          <w:b/>
          <w:sz w:val="28"/>
          <w:shd w:fill="auto" w:val="clear"/>
        </w:rPr>
        <w:t>"</w:t>
      </w:r>
      <w:r>
        <w:rPr>
          <w:rStyle w:val="Style13"/>
          <w:rFonts w:cs="Times New Roman" w:ascii="Times New Roman" w:hAnsi="Times New Roman"/>
          <w:b/>
          <w:sz w:val="28"/>
          <w:szCs w:val="28"/>
          <w:shd w:fill="auto" w:val="clear"/>
        </w:rPr>
        <w:t>Сведения об операторе инвестиционной платформы</w:t>
      </w:r>
      <w:r>
        <w:rPr>
          <w:rStyle w:val="Style13"/>
          <w:rFonts w:ascii="Times New Roman" w:hAnsi="Times New Roman"/>
          <w:b/>
          <w:sz w:val="28"/>
          <w:shd w:fill="auto" w:val="clear"/>
        </w:rPr>
        <w:t>"</w:t>
      </w:r>
      <w:r>
        <w:rPr>
          <w:rStyle w:val="Style13"/>
          <w:rFonts w:cs="Times New Roman" w:ascii="Times New Roman" w:hAnsi="Times New Roman"/>
          <w:sz w:val="28"/>
          <w:szCs w:val="28"/>
          <w:shd w:fill="auto" w:val="clear"/>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pPr>
        <w:pStyle w:val="ListParagraph"/>
        <w:widowControl w:val="false"/>
        <w:ind w:left="0"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 xml:space="preserve">Реестр операторов инвестиционных платформ размещен на официальном сайте Банка России по ссылке: </w:t>
      </w:r>
      <w:hyperlink r:id="rId23">
        <w:r>
          <w:rPr>
            <w:rStyle w:val="-"/>
            <w:rFonts w:ascii="Times New Roman" w:hAnsi="Times New Roman"/>
            <w:sz w:val="28"/>
            <w:szCs w:val="28"/>
          </w:rPr>
          <w:t>https://cbr.ru/vfs/registers/infr/list_invest_platform_op.xlsx</w:t>
        </w:r>
      </w:hyperlink>
      <w:r>
        <w:rPr>
          <w:rFonts w:ascii="Times New Roman" w:hAnsi="Times New Roman"/>
          <w:sz w:val="28"/>
          <w:szCs w:val="28"/>
        </w:rPr>
        <w:t xml:space="preserve">. </w:t>
      </w:r>
    </w:p>
    <w:p>
      <w:pPr>
        <w:pStyle w:val="ListParagraph"/>
        <w:widowControl w:val="false"/>
        <w:ind w:left="0" w:firstLine="567"/>
        <w:rPr>
          <w:rStyle w:val="Style13"/>
          <w:rFonts w:ascii="Times New Roman" w:hAnsi="Times New Roman" w:cs="Times New Roman"/>
          <w:sz w:val="28"/>
          <w:szCs w:val="28"/>
          <w:shd w:fill="auto" w:val="clear"/>
        </w:rPr>
      </w:pPr>
      <w:r>
        <w:rPr>
          <w:rFonts w:ascii="Times New Roman" w:hAnsi="Times New Roman"/>
          <w:b/>
          <w:sz w:val="28"/>
          <w:szCs w:val="28"/>
        </w:rPr>
        <w:t>Подраздел 3.5. Цифровая валюта</w:t>
      </w:r>
    </w:p>
    <w:p>
      <w:pPr>
        <w:pStyle w:val="ListParagraph"/>
        <w:widowControl w:val="false"/>
        <w:numPr>
          <w:ilvl w:val="0"/>
          <w:numId w:val="1"/>
        </w:numPr>
        <w:ind w:left="0"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pPr>
        <w:pStyle w:val="ListParagraph"/>
        <w:widowControl w:val="false"/>
        <w:numPr>
          <w:ilvl w:val="0"/>
          <w:numId w:val="1"/>
        </w:numPr>
        <w:ind w:left="0"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pPr>
        <w:pStyle w:val="ListParagraph"/>
        <w:widowControl w:val="false"/>
        <w:numPr>
          <w:ilvl w:val="0"/>
          <w:numId w:val="1"/>
        </w:numPr>
        <w:ind w:left="0"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Примерами цифровой валюты являются: Биткоин (BTC), Эфириум (ETH), Тезер (USDT) и др.</w:t>
      </w:r>
    </w:p>
    <w:p>
      <w:pPr>
        <w:pStyle w:val="ListParagraph"/>
        <w:widowControl w:val="false"/>
        <w:numPr>
          <w:ilvl w:val="0"/>
          <w:numId w:val="1"/>
        </w:numPr>
        <w:ind w:left="0"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 xml:space="preserve">В графе </w:t>
      </w:r>
      <w:r>
        <w:rPr>
          <w:rStyle w:val="Style13"/>
          <w:rFonts w:ascii="Times New Roman" w:hAnsi="Times New Roman"/>
          <w:b/>
          <w:sz w:val="28"/>
          <w:shd w:fill="auto" w:val="clear"/>
        </w:rPr>
        <w:t>"</w:t>
      </w:r>
      <w:r>
        <w:rPr>
          <w:rStyle w:val="Style13"/>
          <w:rFonts w:cs="Times New Roman" w:ascii="Times New Roman" w:hAnsi="Times New Roman"/>
          <w:b/>
          <w:sz w:val="28"/>
          <w:szCs w:val="28"/>
          <w:shd w:fill="auto" w:val="clear"/>
        </w:rPr>
        <w:t>Наименование цифровой валюты</w:t>
      </w:r>
      <w:r>
        <w:rPr>
          <w:rStyle w:val="Style13"/>
          <w:rFonts w:ascii="Times New Roman" w:hAnsi="Times New Roman"/>
          <w:b/>
          <w:sz w:val="28"/>
          <w:shd w:fill="auto" w:val="clear"/>
        </w:rPr>
        <w:t>"</w:t>
      </w:r>
      <w:r>
        <w:rPr>
          <w:rStyle w:val="Style13"/>
          <w:rFonts w:cs="Times New Roman" w:ascii="Times New Roman" w:hAnsi="Times New Roman"/>
          <w:sz w:val="28"/>
          <w:szCs w:val="28"/>
          <w:shd w:fill="auto" w:val="clear"/>
        </w:rPr>
        <w:t xml:space="preserve"> указывается наименование цифровой валюты в соответствии с применимыми документами (без произвольной транслитерации).</w:t>
      </w:r>
    </w:p>
    <w:p>
      <w:pPr>
        <w:pStyle w:val="ListParagraph"/>
        <w:widowControl w:val="false"/>
        <w:numPr>
          <w:ilvl w:val="0"/>
          <w:numId w:val="1"/>
        </w:numPr>
        <w:ind w:left="0"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 xml:space="preserve">В графе </w:t>
      </w:r>
      <w:r>
        <w:rPr>
          <w:rStyle w:val="Style13"/>
          <w:rFonts w:ascii="Times New Roman" w:hAnsi="Times New Roman"/>
          <w:b/>
          <w:sz w:val="28"/>
          <w:shd w:fill="auto" w:val="clear"/>
        </w:rPr>
        <w:t>"</w:t>
      </w:r>
      <w:r>
        <w:rPr>
          <w:rStyle w:val="Style13"/>
          <w:rFonts w:cs="Times New Roman" w:ascii="Times New Roman" w:hAnsi="Times New Roman"/>
          <w:b/>
          <w:sz w:val="28"/>
          <w:szCs w:val="28"/>
          <w:shd w:fill="auto" w:val="clear"/>
        </w:rPr>
        <w:t>Дата приобретения</w:t>
      </w:r>
      <w:r>
        <w:rPr>
          <w:rStyle w:val="Style13"/>
          <w:rFonts w:ascii="Times New Roman" w:hAnsi="Times New Roman"/>
          <w:b/>
          <w:sz w:val="28"/>
          <w:shd w:fill="auto" w:val="clear"/>
        </w:rPr>
        <w:t>"</w:t>
      </w:r>
      <w:r>
        <w:rPr>
          <w:rStyle w:val="Style13"/>
          <w:rFonts w:cs="Times New Roman" w:ascii="Times New Roman" w:hAnsi="Times New Roman"/>
          <w:sz w:val="28"/>
          <w:szCs w:val="28"/>
          <w:shd w:fill="auto" w:val="clear"/>
        </w:rPr>
        <w:t xml:space="preserve"> указывается дата приобретения цифровой валюты.</w:t>
      </w:r>
    </w:p>
    <w:p>
      <w:pPr>
        <w:pStyle w:val="ListParagraph"/>
        <w:widowControl w:val="false"/>
        <w:ind w:left="0" w:firstLine="567"/>
        <w:rPr>
          <w:rStyle w:val="Style13"/>
          <w:rFonts w:ascii="Times New Roman" w:hAnsi="Times New Roman" w:cs="Times New Roman"/>
          <w:sz w:val="28"/>
          <w:szCs w:val="28"/>
          <w:shd w:fill="auto" w:val="clear"/>
        </w:rPr>
      </w:pPr>
      <w:r>
        <w:rPr>
          <w:rStyle w:val="Style13"/>
          <w:rFonts w:ascii="Times New Roman" w:hAnsi="Times New Roman"/>
          <w:b/>
          <w:sz w:val="28"/>
          <w:shd w:fill="auto" w:val="clear"/>
        </w:rPr>
        <w:t>"</w:t>
      </w:r>
      <w:r>
        <w:rPr>
          <w:rStyle w:val="Style13"/>
          <w:rFonts w:cs="Times New Roman" w:ascii="Times New Roman" w:hAnsi="Times New Roman"/>
          <w:b/>
          <w:sz w:val="28"/>
          <w:szCs w:val="28"/>
          <w:shd w:fill="auto" w:val="clear"/>
        </w:rPr>
        <w:t>Дата приобретения</w:t>
      </w:r>
      <w:r>
        <w:rPr>
          <w:rStyle w:val="Style13"/>
          <w:rFonts w:ascii="Times New Roman" w:hAnsi="Times New Roman"/>
          <w:b/>
          <w:sz w:val="28"/>
          <w:shd w:fill="auto" w:val="clear"/>
        </w:rPr>
        <w:t>"</w:t>
      </w:r>
      <w:r>
        <w:rPr>
          <w:rStyle w:val="Style13"/>
          <w:rFonts w:cs="Times New Roman" w:ascii="Times New Roman" w:hAnsi="Times New Roman"/>
          <w:sz w:val="28"/>
          <w:szCs w:val="28"/>
          <w:shd w:fill="auto" w:val="clear"/>
        </w:rPr>
        <w:t xml:space="preserve"> цифровой валюты может совпадать с датой транзакции, то есть с датой передачи цифровой валюты от одного лица другому.</w:t>
      </w:r>
    </w:p>
    <w:p>
      <w:pPr>
        <w:pStyle w:val="ListParagraph"/>
        <w:widowControl w:val="false"/>
        <w:numPr>
          <w:ilvl w:val="0"/>
          <w:numId w:val="1"/>
        </w:numPr>
        <w:ind w:left="0" w:firstLine="567"/>
        <w:rPr>
          <w:rFonts w:ascii="Times New Roman" w:hAnsi="Times New Roman"/>
          <w:b/>
          <w:sz w:val="28"/>
          <w:szCs w:val="28"/>
        </w:rPr>
      </w:pPr>
      <w:r>
        <w:rPr>
          <w:rStyle w:val="Style13"/>
          <w:rFonts w:cs="Times New Roman" w:ascii="Times New Roman" w:hAnsi="Times New Roman"/>
          <w:sz w:val="28"/>
          <w:szCs w:val="28"/>
          <w:shd w:fill="auto" w:val="clear"/>
        </w:rPr>
        <w:t xml:space="preserve">В графе </w:t>
      </w:r>
      <w:r>
        <w:rPr>
          <w:rStyle w:val="Style13"/>
          <w:rFonts w:ascii="Times New Roman" w:hAnsi="Times New Roman"/>
          <w:b/>
          <w:sz w:val="28"/>
          <w:shd w:fill="auto" w:val="clear"/>
        </w:rPr>
        <w:t>"</w:t>
      </w:r>
      <w:r>
        <w:rPr>
          <w:rStyle w:val="Style13"/>
          <w:rFonts w:cs="Times New Roman" w:ascii="Times New Roman" w:hAnsi="Times New Roman"/>
          <w:b/>
          <w:sz w:val="28"/>
          <w:szCs w:val="28"/>
          <w:shd w:fill="auto" w:val="clear"/>
        </w:rPr>
        <w:t>Общее количество</w:t>
      </w:r>
      <w:r>
        <w:rPr>
          <w:rStyle w:val="Style13"/>
          <w:rFonts w:ascii="Times New Roman" w:hAnsi="Times New Roman"/>
          <w:b/>
          <w:sz w:val="28"/>
          <w:shd w:fill="auto" w:val="clear"/>
        </w:rPr>
        <w:t>"</w:t>
      </w:r>
      <w:r>
        <w:rPr>
          <w:rStyle w:val="Style13"/>
          <w:rFonts w:cs="Times New Roman" w:ascii="Times New Roman" w:hAnsi="Times New Roman"/>
          <w:sz w:val="28"/>
          <w:szCs w:val="28"/>
          <w:shd w:fill="auto" w:val="clear"/>
        </w:rPr>
        <w:t xml:space="preserve"> указывается точное количество цифровой валюты, находящейся в собственности (без округления). </w:t>
      </w:r>
    </w:p>
    <w:p>
      <w:pPr>
        <w:pStyle w:val="ListParagraph"/>
        <w:ind w:left="0" w:firstLine="851"/>
        <w:rPr>
          <w:rFonts w:ascii="Times New Roman" w:hAnsi="Times New Roman"/>
          <w:sz w:val="28"/>
          <w:szCs w:val="28"/>
        </w:rPr>
      </w:pPr>
      <w:r>
        <w:rPr>
          <w:rFonts w:ascii="Times New Roman" w:hAnsi="Times New Roman"/>
          <w:sz w:val="28"/>
          <w:szCs w:val="28"/>
        </w:rPr>
      </w:r>
    </w:p>
    <w:p>
      <w:pPr>
        <w:pStyle w:val="Normal"/>
        <w:ind w:hanging="0"/>
        <w:jc w:val="center"/>
        <w:rPr>
          <w:rFonts w:ascii="Times New Roman" w:hAnsi="Times New Roman"/>
          <w:b/>
          <w:sz w:val="28"/>
          <w:szCs w:val="28"/>
        </w:rPr>
      </w:pPr>
      <w:r>
        <w:rPr>
          <w:rFonts w:ascii="Times New Roman" w:hAnsi="Times New Roman"/>
          <w:b/>
          <w:sz w:val="28"/>
          <w:szCs w:val="28"/>
        </w:rPr>
        <w:t xml:space="preserve">РАЗДЕЛ 4. СВЕДЕНИЯ О СЧЕТАХ В БАНКАХ </w:t>
      </w:r>
    </w:p>
    <w:p>
      <w:pPr>
        <w:pStyle w:val="Normal"/>
        <w:ind w:hanging="0"/>
        <w:jc w:val="center"/>
        <w:rPr>
          <w:rFonts w:ascii="Times New Roman" w:hAnsi="Times New Roman"/>
          <w:b/>
          <w:sz w:val="28"/>
          <w:szCs w:val="28"/>
        </w:rPr>
      </w:pPr>
      <w:r>
        <w:rPr>
          <w:rFonts w:ascii="Times New Roman" w:hAnsi="Times New Roman"/>
          <w:b/>
          <w:sz w:val="28"/>
          <w:szCs w:val="28"/>
        </w:rPr>
        <w:t>И ИНЫХ КРЕДИТНЫХ ОРГАНИЗАЦИЯХ</w:t>
      </w:r>
    </w:p>
    <w:p>
      <w:pPr>
        <w:pStyle w:val="Normal"/>
        <w:ind w:firstLine="851"/>
        <w:jc w:val="center"/>
        <w:rPr>
          <w:rFonts w:ascii="Times New Roman" w:hAnsi="Times New Roman"/>
          <w:b/>
          <w:sz w:val="28"/>
          <w:szCs w:val="28"/>
        </w:rPr>
      </w:pPr>
      <w:r>
        <w:rPr>
          <w:rFonts w:ascii="Times New Roman" w:hAnsi="Times New Roman"/>
          <w:b/>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pPr>
        <w:pStyle w:val="Normal"/>
        <w:tabs>
          <w:tab w:val="clear" w:pos="709"/>
          <w:tab w:val="left" w:pos="567" w:leader="none"/>
          <w:tab w:val="left" w:pos="993" w:leader="none"/>
        </w:tabs>
        <w:rPr>
          <w:rFonts w:ascii="Times New Roman" w:hAnsi="Times New Roman"/>
          <w:color w:val="000000"/>
          <w:sz w:val="28"/>
          <w:szCs w:val="28"/>
        </w:rPr>
      </w:pPr>
      <w:r>
        <w:rPr>
          <w:rFonts w:ascii="Times New Roman" w:hAnsi="Times New Roman"/>
          <w:color w:val="000000"/>
          <w:sz w:val="28"/>
          <w:szCs w:val="28"/>
        </w:rPr>
        <w:t xml:space="preserve">Информация о счетах, закрытых по состоянию на отчетную дату, не подлежит отражению в справке. </w:t>
      </w:r>
    </w:p>
    <w:p>
      <w:pPr>
        <w:pStyle w:val="ListParagraph"/>
        <w:ind w:left="0" w:firstLine="567"/>
        <w:rPr>
          <w:rFonts w:ascii="Times New Roman" w:hAnsi="Times New Roman"/>
          <w:color w:val="000000"/>
          <w:sz w:val="28"/>
          <w:szCs w:val="28"/>
        </w:rPr>
      </w:pPr>
      <w:r>
        <w:rPr>
          <w:rFonts w:ascii="Times New Roman" w:hAnsi="Times New Roman"/>
          <w:color w:val="000000"/>
          <w:sz w:val="28"/>
          <w:szCs w:val="28"/>
        </w:rPr>
        <w:t>В данном разделе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раздела 4 справки не усматриваются. К</w:t>
      </w:r>
      <w:r>
        <w:rPr>
          <w:rFonts w:ascii="Times New Roman" w:hAnsi="Times New Roman"/>
          <w:sz w:val="28"/>
          <w:szCs w:val="28"/>
        </w:rPr>
        <w:t>арта может быть не привязана к счету, например, при открытии "Пушкинской карты" и др.</w:t>
      </w:r>
    </w:p>
    <w:p>
      <w:pPr>
        <w:pStyle w:val="ListParagraph"/>
        <w:ind w:left="0" w:firstLine="567"/>
        <w:rPr>
          <w:rFonts w:ascii="Times New Roman" w:hAnsi="Times New Roman"/>
          <w:color w:val="000000"/>
          <w:sz w:val="28"/>
          <w:szCs w:val="28"/>
        </w:rPr>
      </w:pPr>
      <w:r>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"Текущего" или "Депозитного").</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частности, подлежит указанию информация о следующих открытых счетах (в том числе о счетах, к которым не эмитированы (не выпущены) платежные карты):</w:t>
      </w:r>
    </w:p>
    <w:p>
      <w:pPr>
        <w:pStyle w:val="ListParagraph"/>
        <w:ind w:left="0" w:firstLine="567"/>
        <w:rPr>
          <w:rFonts w:ascii="Times New Roman" w:hAnsi="Times New Roman"/>
          <w:sz w:val="28"/>
          <w:szCs w:val="28"/>
        </w:rPr>
      </w:pPr>
      <w:r>
        <w:rPr>
          <w:rFonts w:ascii="Times New Roman" w:hAnsi="Times New Roman"/>
          <w:sz w:val="28"/>
          <w:szCs w:val="28"/>
        </w:rPr>
        <w:t>1) счета с нулевым остатком по состоянию на отчетную дату;</w:t>
      </w:r>
    </w:p>
    <w:p>
      <w:pPr>
        <w:pStyle w:val="ListParagraph"/>
        <w:ind w:left="0" w:firstLine="567"/>
        <w:rPr>
          <w:rFonts w:ascii="Times New Roman" w:hAnsi="Times New Roman"/>
          <w:sz w:val="28"/>
          <w:szCs w:val="28"/>
        </w:rPr>
      </w:pPr>
      <w:r>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pPr>
        <w:pStyle w:val="ListParagraph"/>
        <w:ind w:left="0" w:firstLine="567"/>
        <w:rPr>
          <w:rFonts w:ascii="Times New Roman" w:hAnsi="Times New Roman"/>
          <w:sz w:val="28"/>
          <w:szCs w:val="28"/>
        </w:rPr>
      </w:pPr>
      <w:r>
        <w:rPr>
          <w:rFonts w:ascii="Times New Roman" w:hAnsi="Times New Roman"/>
          <w:sz w:val="28"/>
          <w:szCs w:val="28"/>
        </w:rPr>
        <w:t>3) счета (вклады) в иностранных банках, расположенных за пределами Российской Федерации.</w:t>
      </w:r>
    </w:p>
    <w:p>
      <w:pPr>
        <w:pStyle w:val="Normal"/>
        <w:numPr>
          <w:ilvl w:val="0"/>
          <w:numId w:val="0"/>
        </w:numPr>
        <w:ind w:firstLine="567"/>
        <w:outlineLvl w:val="1"/>
        <w:rPr>
          <w:rStyle w:val="Style13"/>
          <w:rFonts w:ascii="Times New Roman" w:hAnsi="Times New Roman" w:cs="Times New Roman"/>
          <w:color w:val="000000"/>
          <w:sz w:val="28"/>
          <w:szCs w:val="28"/>
        </w:rPr>
      </w:pPr>
      <w:r>
        <w:rPr>
          <w:rStyle w:val="Style13"/>
          <w:rFonts w:cs="Times New Roman" w:ascii="Times New Roman" w:hAnsi="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pPr>
        <w:pStyle w:val="ListParagraph"/>
        <w:ind w:left="0" w:firstLine="567"/>
        <w:rPr>
          <w:rFonts w:ascii="Times New Roman" w:hAnsi="Times New Roman"/>
          <w:sz w:val="28"/>
          <w:szCs w:val="28"/>
        </w:rPr>
      </w:pPr>
      <w:r>
        <w:rPr>
          <w:rFonts w:ascii="Times New Roman" w:hAnsi="Times New Roman"/>
          <w:sz w:val="28"/>
          <w:szCs w:val="28"/>
        </w:rPr>
        <w:t>4) счета, открытые для погашения кредита;</w:t>
      </w:r>
    </w:p>
    <w:p>
      <w:pPr>
        <w:pStyle w:val="ListParagraph"/>
        <w:ind w:left="0" w:firstLine="567"/>
        <w:rPr>
          <w:rFonts w:ascii="Times New Roman" w:hAnsi="Times New Roman"/>
          <w:sz w:val="28"/>
          <w:szCs w:val="28"/>
        </w:rPr>
      </w:pPr>
      <w:r>
        <w:rPr>
          <w:rFonts w:ascii="Times New Roman" w:hAnsi="Times New Roman"/>
          <w:sz w:val="28"/>
          <w:szCs w:val="28"/>
        </w:rPr>
        <w:t>5) вклады (счета) в драгоценных металлах (в том числе указывается вид счета и металл, в котором он открыт);</w:t>
      </w:r>
    </w:p>
    <w:p>
      <w:pPr>
        <w:pStyle w:val="ListParagraph"/>
        <w:ind w:left="0" w:firstLine="567"/>
        <w:rPr>
          <w:rFonts w:ascii="Times New Roman" w:hAnsi="Times New Roman"/>
          <w:sz w:val="28"/>
          <w:szCs w:val="28"/>
        </w:rPr>
      </w:pPr>
      <w:r>
        <w:rPr>
          <w:rFonts w:ascii="Times New Roman" w:hAnsi="Times New Roman"/>
          <w:sz w:val="28"/>
          <w:szCs w:val="28"/>
        </w:rPr>
        <w:t>6) счета, открытые гражданам, зарегистрированным в качестве индивидуальных предпринимателей;</w:t>
      </w:r>
    </w:p>
    <w:p>
      <w:pPr>
        <w:pStyle w:val="ListParagraph"/>
        <w:ind w:left="0" w:firstLine="567"/>
        <w:rPr>
          <w:rFonts w:ascii="Times New Roman" w:hAnsi="Times New Roman"/>
          <w:sz w:val="28"/>
          <w:szCs w:val="28"/>
        </w:rPr>
      </w:pPr>
      <w:r>
        <w:rPr>
          <w:rFonts w:ascii="Times New Roman" w:hAnsi="Times New Roman"/>
          <w:sz w:val="28"/>
          <w:szCs w:val="28"/>
        </w:rPr>
        <w:t>7) номинальный счет;</w:t>
      </w:r>
    </w:p>
    <w:p>
      <w:pPr>
        <w:pStyle w:val="ListParagraph"/>
        <w:ind w:left="0" w:firstLine="567"/>
        <w:rPr>
          <w:rFonts w:ascii="Times New Roman" w:hAnsi="Times New Roman"/>
          <w:sz w:val="28"/>
          <w:szCs w:val="28"/>
        </w:rPr>
      </w:pPr>
      <w:r>
        <w:rPr>
          <w:rFonts w:ascii="Times New Roman" w:hAnsi="Times New Roman"/>
          <w:sz w:val="28"/>
          <w:szCs w:val="28"/>
        </w:rPr>
        <w:t>8) счет эскроу;</w:t>
      </w:r>
    </w:p>
    <w:p>
      <w:pPr>
        <w:pStyle w:val="ListParagraph"/>
        <w:ind w:left="0" w:firstLine="567"/>
        <w:rPr>
          <w:rFonts w:ascii="Times New Roman" w:hAnsi="Times New Roman"/>
          <w:sz w:val="28"/>
          <w:szCs w:val="28"/>
        </w:rPr>
      </w:pPr>
      <w:r>
        <w:rPr>
          <w:rFonts w:ascii="Times New Roman" w:hAnsi="Times New Roman"/>
          <w:sz w:val="28"/>
          <w:szCs w:val="28"/>
        </w:rPr>
        <w:t>9) счет цифрового рубля.</w:t>
      </w:r>
    </w:p>
    <w:p>
      <w:pPr>
        <w:pStyle w:val="Annotationtext"/>
        <w:ind w:firstLine="567"/>
        <w:rPr>
          <w:rFonts w:ascii="Times New Roman" w:hAnsi="Times New Roman"/>
          <w:sz w:val="28"/>
          <w:szCs w:val="28"/>
        </w:rPr>
      </w:pPr>
      <w:r>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pPr>
        <w:pStyle w:val="ListParagraph"/>
        <w:ind w:left="0" w:firstLine="567"/>
        <w:rPr>
          <w:rFonts w:ascii="Times New Roman" w:hAnsi="Times New Roman"/>
          <w:sz w:val="28"/>
          <w:szCs w:val="28"/>
        </w:rPr>
      </w:pPr>
      <w:r>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4" w:tgtFrame="https://www.cbr.ru/hd_base/metall/metall_base_new/">
        <w:r>
          <w:rPr>
            <w:rStyle w:val="-"/>
            <w:rFonts w:ascii="Times New Roman" w:hAnsi="Times New Roman"/>
            <w:sz w:val="28"/>
            <w:szCs w:val="28"/>
          </w:rPr>
          <w:t>https://www.cbr.ru/hd_base/metall/metall_base_new/</w:t>
        </w:r>
      </w:hyperlink>
      <w:r>
        <w:rPr>
          <w:rFonts w:ascii="Times New Roman" w:hAnsi="Times New Roman"/>
          <w:sz w:val="28"/>
          <w:szCs w:val="28"/>
        </w:rPr>
        <w:t>.</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pPr>
        <w:pStyle w:val="ListParagraph"/>
        <w:ind w:left="0" w:firstLine="567"/>
        <w:rPr>
          <w:rFonts w:ascii="Times New Roman" w:hAnsi="Times New Roman"/>
          <w:sz w:val="28"/>
          <w:szCs w:val="28"/>
        </w:rPr>
      </w:pPr>
      <w:r>
        <w:rPr>
          <w:rFonts w:ascii="Times New Roman" w:hAnsi="Times New Roman"/>
          <w:sz w:val="28"/>
          <w:szCs w:val="28"/>
        </w:rPr>
        <w:t>1) счета, закрытые по состоянию на отчетную дату;</w:t>
      </w:r>
    </w:p>
    <w:p>
      <w:pPr>
        <w:pStyle w:val="ListParagraph"/>
        <w:ind w:left="0" w:firstLine="567"/>
        <w:rPr>
          <w:rFonts w:ascii="Times New Roman" w:hAnsi="Times New Roman"/>
          <w:sz w:val="28"/>
          <w:szCs w:val="28"/>
        </w:rPr>
      </w:pPr>
      <w:r>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pPr>
        <w:pStyle w:val="ListParagraph"/>
        <w:ind w:left="0" w:firstLine="567"/>
        <w:rPr>
          <w:rFonts w:ascii="Times New Roman" w:hAnsi="Times New Roman"/>
          <w:sz w:val="28"/>
          <w:szCs w:val="28"/>
        </w:rPr>
      </w:pPr>
      <w:r>
        <w:rPr>
          <w:rFonts w:ascii="Times New Roman" w:hAnsi="Times New Roman"/>
          <w:sz w:val="28"/>
          <w:szCs w:val="28"/>
        </w:rPr>
        <w:t>3) публичные депозитные счета нотариуса;</w:t>
      </w:r>
    </w:p>
    <w:p>
      <w:pPr>
        <w:pStyle w:val="ListParagraph"/>
        <w:ind w:left="0" w:firstLine="567"/>
        <w:rPr>
          <w:rFonts w:ascii="Times New Roman" w:hAnsi="Times New Roman"/>
          <w:sz w:val="28"/>
          <w:szCs w:val="28"/>
        </w:rPr>
      </w:pPr>
      <w:r>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pPr>
        <w:pStyle w:val="ListParagraph"/>
        <w:ind w:left="0" w:firstLine="567"/>
        <w:rPr>
          <w:rFonts w:ascii="Times New Roman" w:hAnsi="Times New Roman"/>
          <w:sz w:val="28"/>
          <w:szCs w:val="28"/>
        </w:rPr>
      </w:pPr>
      <w:r>
        <w:rPr>
          <w:rFonts w:ascii="Times New Roman" w:hAnsi="Times New Roman"/>
          <w:sz w:val="28"/>
          <w:szCs w:val="28"/>
        </w:rPr>
        <w:t>5) счета доверительного управления;</w:t>
      </w:r>
    </w:p>
    <w:p>
      <w:pPr>
        <w:pStyle w:val="ListParagraph"/>
        <w:ind w:left="0" w:firstLine="567"/>
        <w:rPr>
          <w:rFonts w:ascii="Times New Roman" w:hAnsi="Times New Roman"/>
          <w:sz w:val="28"/>
          <w:szCs w:val="28"/>
        </w:rPr>
      </w:pPr>
      <w:r>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pPr>
        <w:pStyle w:val="ListParagraph"/>
        <w:ind w:left="0" w:firstLine="567"/>
        <w:rPr>
          <w:rFonts w:ascii="Times New Roman" w:hAnsi="Times New Roman"/>
          <w:sz w:val="28"/>
          <w:szCs w:val="28"/>
        </w:rPr>
      </w:pPr>
      <w:r>
        <w:rPr>
          <w:rFonts w:ascii="Times New Roman" w:hAnsi="Times New Roman"/>
          <w:sz w:val="28"/>
          <w:szCs w:val="28"/>
        </w:rPr>
        <w:t>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212 настоящих Методических рекомендаций.</w:t>
      </w:r>
    </w:p>
    <w:p>
      <w:pPr>
        <w:pStyle w:val="ListParagraph"/>
        <w:ind w:left="0" w:firstLine="567"/>
        <w:rPr>
          <w:rFonts w:ascii="Times New Roman" w:hAnsi="Times New Roman"/>
          <w:sz w:val="28"/>
          <w:szCs w:val="28"/>
        </w:rPr>
      </w:pPr>
      <w:r>
        <w:rPr>
          <w:rFonts w:ascii="Times New Roman" w:hAnsi="Times New Roman"/>
          <w:sz w:val="28"/>
          <w:szCs w:val="28"/>
        </w:rPr>
        <w:t>7) синтетические счета.</w:t>
      </w:r>
    </w:p>
    <w:p>
      <w:pPr>
        <w:pStyle w:val="ListParagraph"/>
        <w:numPr>
          <w:ilvl w:val="0"/>
          <w:numId w:val="1"/>
        </w:numPr>
        <w:ind w:left="0" w:firstLine="567"/>
        <w:rPr>
          <w:rFonts w:ascii="Times New Roman" w:hAnsi="Times New Roman"/>
          <w:sz w:val="28"/>
          <w:szCs w:val="28"/>
          <w:shd w:fill="FFFFFF" w:val="clear"/>
        </w:rPr>
      </w:pPr>
      <w:r>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pPr>
        <w:pStyle w:val="ListParagraph"/>
        <w:ind w:left="0" w:firstLine="567"/>
        <w:rPr>
          <w:rStyle w:val="Style13"/>
          <w:rFonts w:ascii="Times New Roman" w:hAnsi="Times New Roman" w:cs="Times New Roman"/>
          <w:sz w:val="28"/>
          <w:szCs w:val="28"/>
        </w:rPr>
      </w:pPr>
      <w:r>
        <w:rPr>
          <w:rStyle w:val="Style13"/>
          <w:rFonts w:cs="Times New Roman" w:ascii="Times New Roman" w:hAnsi="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pPr>
        <w:pStyle w:val="ListParagraph"/>
        <w:ind w:left="0" w:firstLine="567"/>
        <w:rPr>
          <w:rStyle w:val="Style13"/>
          <w:rFonts w:ascii="Times New Roman" w:hAnsi="Times New Roman"/>
        </w:rPr>
      </w:pPr>
      <w:r>
        <w:rPr>
          <w:rStyle w:val="Style13"/>
          <w:rFonts w:cs="Times New Roman" w:ascii="Times New Roman" w:hAnsi="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pPr>
        <w:pStyle w:val="ListParagraph"/>
        <w:ind w:left="0" w:firstLine="567"/>
        <w:rPr>
          <w:rFonts w:ascii="Times New Roman" w:hAnsi="Times New Roman"/>
          <w:sz w:val="28"/>
          <w:szCs w:val="28"/>
        </w:rPr>
      </w:pPr>
      <w:r>
        <w:rPr>
          <w:rStyle w:val="Style13"/>
          <w:rFonts w:cs="Times New Roman" w:ascii="Times New Roman" w:hAnsi="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"Наименование и адрес банка или иной кредитной организации"</w:t>
      </w:r>
      <w:r>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pPr>
        <w:pStyle w:val="ListParagraph"/>
        <w:ind w:left="0" w:firstLine="567"/>
        <w:rPr>
          <w:rFonts w:ascii="Times New Roman" w:hAnsi="Times New Roman"/>
          <w:sz w:val="28"/>
          <w:szCs w:val="28"/>
        </w:rPr>
      </w:pPr>
      <w:r>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указывается "Банк России, </w:t>
      </w:r>
      <w:r>
        <w:rPr>
          <w:rStyle w:val="Style13"/>
          <w:rFonts w:cs="Times New Roman" w:ascii="Times New Roman" w:hAnsi="Times New Roman"/>
          <w:sz w:val="28"/>
          <w:szCs w:val="28"/>
        </w:rPr>
        <w:t>107016, Москва, ул. Неглинная, д. 12, к. В.</w:t>
      </w:r>
      <w:r>
        <w:rPr>
          <w:rFonts w:ascii="Times New Roman" w:hAnsi="Times New Roman"/>
          <w:sz w:val="28"/>
          <w:szCs w:val="28"/>
        </w:rPr>
        <w:t>".</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"Вид и валюта счета"</w:t>
      </w:r>
      <w:r>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вкладам (депозитам)".</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соответствии с указанной Инструкцией и с учетом пунктов 152 и 153 настоящих Методических рекомендаций физическим лицам открываются следующие применимые для целей представления Сведений счета:</w:t>
      </w:r>
    </w:p>
    <w:p>
      <w:pPr>
        <w:pStyle w:val="ListParagraph"/>
        <w:ind w:left="0" w:firstLine="567"/>
        <w:rPr>
          <w:rFonts w:ascii="Times New Roman" w:hAnsi="Times New Roman"/>
          <w:sz w:val="28"/>
          <w:szCs w:val="28"/>
        </w:rPr>
      </w:pPr>
      <w:r>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pPr>
        <w:pStyle w:val="ListParagraph"/>
        <w:ind w:left="0" w:firstLine="567"/>
        <w:rPr>
          <w:rFonts w:ascii="Times New Roman" w:hAnsi="Times New Roman"/>
          <w:sz w:val="28"/>
          <w:szCs w:val="28"/>
        </w:rPr>
      </w:pPr>
      <w:r>
        <w:rPr>
          <w:rFonts w:eastAsia="Times New Roman" w:ascii="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Pr>
          <w:rFonts w:ascii="Times New Roman" w:hAnsi="Times New Roman"/>
          <w:sz w:val="28"/>
          <w:szCs w:val="28"/>
        </w:rPr>
        <w:t xml:space="preserve">Счет такой карты, как правило, текущий; </w:t>
      </w:r>
    </w:p>
    <w:p>
      <w:pPr>
        <w:pStyle w:val="ListParagraph"/>
        <w:ind w:left="0" w:firstLine="567"/>
        <w:rPr>
          <w:rFonts w:ascii="Times New Roman" w:hAnsi="Times New Roman"/>
          <w:sz w:val="28"/>
          <w:szCs w:val="28"/>
        </w:rPr>
      </w:pPr>
      <w:r>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pPr>
        <w:pStyle w:val="ListParagraph"/>
        <w:ind w:left="0" w:firstLine="567"/>
        <w:rPr>
          <w:rFonts w:ascii="Times New Roman" w:hAnsi="Times New Roman"/>
          <w:sz w:val="28"/>
          <w:szCs w:val="28"/>
        </w:rPr>
      </w:pPr>
      <w:r>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pPr>
        <w:pStyle w:val="ListParagraph"/>
        <w:numPr>
          <w:ilvl w:val="0"/>
          <w:numId w:val="1"/>
        </w:numPr>
        <w:ind w:left="0" w:firstLine="567"/>
        <w:rPr>
          <w:rStyle w:val="Style13"/>
          <w:rFonts w:ascii="Times New Roman" w:hAnsi="Times New Roman" w:cs="Times New Roman"/>
          <w:sz w:val="28"/>
          <w:szCs w:val="28"/>
        </w:rPr>
      </w:pPr>
      <w:r>
        <w:rPr>
          <w:rFonts w:ascii="Times New Roman" w:hAnsi="Times New Roman"/>
          <w:sz w:val="28"/>
          <w:szCs w:val="28"/>
        </w:rPr>
        <w:t xml:space="preserve">В графе </w:t>
      </w:r>
      <w:r>
        <w:rPr>
          <w:rFonts w:ascii="Times New Roman" w:hAnsi="Times New Roman"/>
          <w:b/>
          <w:sz w:val="28"/>
        </w:rPr>
        <w:t>"Дата открытия счета"</w:t>
      </w:r>
      <w:r>
        <w:rPr>
          <w:rFonts w:ascii="Times New Roman" w:hAnsi="Times New Roman"/>
          <w:sz w:val="28"/>
          <w:szCs w:val="28"/>
        </w:rPr>
        <w:t xml:space="preserve"> </w:t>
      </w:r>
      <w:r>
        <w:rPr>
          <w:rStyle w:val="Style13"/>
          <w:rFonts w:cs="Times New Roman" w:ascii="Times New Roman" w:hAnsi="Times New Roman"/>
          <w:color w:val="000000"/>
          <w:sz w:val="28"/>
          <w:szCs w:val="28"/>
        </w:rPr>
        <w:t xml:space="preserve">не допускается указание даты выпуска (перевыпуска) платежной карты.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Графа </w:t>
      </w:r>
      <w:r>
        <w:rPr>
          <w:rFonts w:ascii="Times New Roman" w:hAnsi="Times New Roman"/>
          <w:b/>
          <w:sz w:val="28"/>
        </w:rPr>
        <w:t>"Остаток на счете</w:t>
      </w:r>
      <w:r>
        <w:rPr>
          <w:rFonts w:ascii="Times New Roman" w:hAnsi="Times New Roman"/>
          <w:b/>
          <w:sz w:val="28"/>
          <w:szCs w:val="28"/>
        </w:rPr>
        <w:t xml:space="preserve"> (руб.)"</w:t>
      </w:r>
      <w:r>
        <w:rPr>
          <w:rFonts w:ascii="Times New Roman" w:hAnsi="Times New Roman"/>
          <w:sz w:val="28"/>
          <w:szCs w:val="28"/>
        </w:rPr>
        <w:t xml:space="preserve"> заполняется по состоянию на отчетную дату. </w:t>
      </w:r>
    </w:p>
    <w:p>
      <w:pPr>
        <w:pStyle w:val="ListParagraph"/>
        <w:ind w:left="0" w:firstLine="567"/>
        <w:rPr>
          <w:rFonts w:ascii="Times New Roman" w:hAnsi="Times New Roman"/>
          <w:sz w:val="28"/>
          <w:szCs w:val="28"/>
        </w:rPr>
      </w:pPr>
      <w:r>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pPr>
        <w:pStyle w:val="ListParagraph"/>
        <w:ind w:left="0" w:firstLine="567"/>
        <w:rPr>
          <w:rFonts w:ascii="Times New Roman" w:hAnsi="Times New Roman"/>
          <w:sz w:val="28"/>
          <w:szCs w:val="28"/>
        </w:rPr>
      </w:pPr>
      <w:r>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w:t>
      </w:r>
      <w:r>
        <w:rPr>
          <w:rFonts w:ascii="Times New Roman" w:hAnsi="Times New Roman"/>
          <w:b/>
          <w:sz w:val="28"/>
          <w:szCs w:val="28"/>
        </w:rPr>
        <w:t>"Остаток на счете (руб.)"</w:t>
      </w:r>
      <w:r>
        <w:rPr>
          <w:rFonts w:ascii="Times New Roman" w:hAnsi="Times New Roman"/>
          <w:sz w:val="28"/>
          <w:szCs w:val="28"/>
        </w:rPr>
        <w:t xml:space="preserve"> раздела 4 справки в полном объеме.</w:t>
      </w:r>
    </w:p>
    <w:p>
      <w:pPr>
        <w:pStyle w:val="ListParagraph"/>
        <w:ind w:left="0" w:firstLine="567"/>
        <w:rPr>
          <w:rFonts w:ascii="Times New Roman" w:hAnsi="Times New Roman"/>
          <w:sz w:val="28"/>
          <w:szCs w:val="28"/>
        </w:rPr>
      </w:pPr>
      <w:r>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w:t>
      </w:r>
      <w:r>
        <w:rPr>
          <w:rFonts w:eastAsia="Times New Roman" w:ascii="Times New Roman" w:hAnsi="Times New Roman"/>
          <w:sz w:val="28"/>
          <w:szCs w:val="28"/>
          <w:lang w:eastAsia="ru-RU"/>
        </w:rPr>
        <w:t>(с учетом положений пункта 54 настоящих Методических рекомендаций)</w:t>
      </w:r>
      <w:r>
        <w:rPr>
          <w:rFonts w:ascii="Times New Roman" w:hAnsi="Times New Roman"/>
          <w:sz w:val="28"/>
          <w:szCs w:val="28"/>
        </w:rPr>
        <w:t xml:space="preserve">. </w:t>
      </w:r>
    </w:p>
    <w:p>
      <w:pPr>
        <w:pStyle w:val="ListParagraph"/>
        <w:ind w:left="0" w:firstLine="567"/>
        <w:rPr>
          <w:rFonts w:ascii="Times New Roman" w:hAnsi="Times New Roman"/>
          <w:sz w:val="28"/>
          <w:szCs w:val="28"/>
        </w:rPr>
      </w:pPr>
      <w:r>
        <w:rPr>
          <w:rFonts w:ascii="Times New Roman" w:hAnsi="Times New Roman"/>
          <w:sz w:val="28"/>
          <w:szCs w:val="28"/>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pPr>
        <w:pStyle w:val="ListParagraph"/>
        <w:numPr>
          <w:ilvl w:val="0"/>
          <w:numId w:val="1"/>
        </w:numPr>
        <w:ind w:left="0" w:firstLine="567"/>
        <w:rPr>
          <w:rFonts w:ascii="Times New Roman" w:hAnsi="Times New Roman"/>
          <w:sz w:val="28"/>
        </w:rPr>
      </w:pPr>
      <w:r>
        <w:rPr>
          <w:rFonts w:ascii="Times New Roman" w:hAnsi="Times New Roman"/>
          <w:sz w:val="28"/>
        </w:rPr>
        <w:t xml:space="preserve">Графа </w:t>
      </w:r>
      <w:r>
        <w:rPr>
          <w:rFonts w:ascii="Times New Roman" w:hAnsi="Times New Roman"/>
          <w:b/>
          <w:sz w:val="28"/>
        </w:rPr>
        <w:t>"Сумма поступивших на счет денежных средств</w:t>
      </w:r>
      <w:r>
        <w:rPr>
          <w:rFonts w:ascii="Times New Roman" w:hAnsi="Times New Roman"/>
          <w:b/>
          <w:sz w:val="28"/>
          <w:szCs w:val="28"/>
        </w:rPr>
        <w:t xml:space="preserve"> (руб.)"</w:t>
      </w:r>
      <w:r>
        <w:rPr>
          <w:rFonts w:ascii="Times New Roman" w:hAnsi="Times New Roman"/>
          <w:sz w:val="28"/>
        </w:rPr>
        <w:t xml:space="preserve"> заполняется </w:t>
      </w:r>
      <w:r>
        <w:rPr>
          <w:rFonts w:ascii="Times New Roman" w:hAnsi="Times New Roman"/>
          <w:b/>
          <w:sz w:val="28"/>
        </w:rPr>
        <w:t>только</w:t>
      </w:r>
      <w:r>
        <w:rPr>
          <w:rFonts w:ascii="Times New Roman" w:hAnsi="Times New Roman"/>
          <w:sz w:val="28"/>
        </w:rPr>
        <w:t xml:space="preserve"> в случае, если общая сумма денежных </w:t>
      </w:r>
      <w:r>
        <w:rPr>
          <w:rFonts w:ascii="Times New Roman" w:hAnsi="Times New Roman"/>
          <w:sz w:val="28"/>
          <w:szCs w:val="28"/>
        </w:rPr>
        <w:t>средств, поступивших</w:t>
      </w:r>
      <w:r>
        <w:rPr>
          <w:rFonts w:ascii="Times New Roman" w:hAnsi="Times New Roman"/>
          <w:sz w:val="28"/>
        </w:rPr>
        <w:t xml:space="preserve"> на </w:t>
      </w:r>
      <w:r>
        <w:rPr>
          <w:rFonts w:ascii="Times New Roman" w:hAnsi="Times New Roman"/>
          <w:sz w:val="28"/>
          <w:szCs w:val="28"/>
        </w:rPr>
        <w:t>счета</w:t>
      </w:r>
      <w:r>
        <w:rPr>
          <w:rFonts w:ascii="Times New Roman" w:hAnsi="Times New Roman"/>
          <w:sz w:val="28"/>
        </w:rPr>
        <w:t xml:space="preserve"> за отчетный период</w:t>
      </w:r>
      <w:r>
        <w:rPr>
          <w:rFonts w:ascii="Times New Roman" w:hAnsi="Times New Roman"/>
          <w:sz w:val="28"/>
          <w:szCs w:val="28"/>
        </w:rPr>
        <w:t>,</w:t>
      </w:r>
      <w:r>
        <w:rPr>
          <w:rFonts w:ascii="Times New Roman" w:hAnsi="Times New Roman"/>
          <w:sz w:val="28"/>
        </w:rPr>
        <w:t xml:space="preserve"> превышает общий доход служащего (работника</w:t>
      </w:r>
      <w:r>
        <w:rPr>
          <w:rFonts w:ascii="Times New Roman" w:hAnsi="Times New Roman"/>
          <w:sz w:val="28"/>
          <w:szCs w:val="28"/>
        </w:rPr>
        <w:t>),</w:t>
      </w:r>
      <w:r>
        <w:rPr>
          <w:rFonts w:ascii="Times New Roman" w:hAnsi="Times New Roman"/>
          <w:sz w:val="28"/>
        </w:rPr>
        <w:t xml:space="preserve"> его супруги (супруга) </w:t>
      </w:r>
      <w:r>
        <w:rPr>
          <w:rFonts w:ascii="Times New Roman" w:hAnsi="Times New Roman"/>
          <w:sz w:val="28"/>
          <w:szCs w:val="28"/>
        </w:rPr>
        <w:t xml:space="preserve">и несовершеннолетних детей </w:t>
      </w:r>
      <w:r>
        <w:rPr>
          <w:rFonts w:ascii="Times New Roman" w:hAnsi="Times New Roman"/>
          <w:sz w:val="28"/>
        </w:rPr>
        <w:t xml:space="preserve">за отчетный период и два предшествующих ему года. Например, при представлении Сведений в </w:t>
      </w:r>
      <w:r>
        <w:rPr>
          <w:rFonts w:ascii="Times New Roman" w:hAnsi="Times New Roman"/>
          <w:sz w:val="28"/>
          <w:szCs w:val="28"/>
        </w:rPr>
        <w:t>2024</w:t>
      </w:r>
      <w:r>
        <w:rPr>
          <w:rFonts w:ascii="Times New Roman" w:hAnsi="Times New Roman"/>
          <w:sz w:val="28"/>
        </w:rPr>
        <w:t xml:space="preserve"> году графа </w:t>
      </w:r>
      <w:r>
        <w:rPr>
          <w:rFonts w:ascii="Times New Roman" w:hAnsi="Times New Roman"/>
          <w:b/>
          <w:sz w:val="28"/>
        </w:rPr>
        <w:t>"Сумма поступивших на счет денежных средств</w:t>
      </w:r>
      <w:r>
        <w:rPr>
          <w:rFonts w:ascii="Times New Roman" w:hAnsi="Times New Roman"/>
          <w:b/>
          <w:sz w:val="28"/>
          <w:szCs w:val="28"/>
        </w:rPr>
        <w:t xml:space="preserve"> (руб.)"</w:t>
      </w:r>
      <w:r>
        <w:rPr>
          <w:rFonts w:ascii="Times New Roman" w:hAnsi="Times New Roman"/>
          <w:sz w:val="28"/>
        </w:rPr>
        <w:t xml:space="preserve"> заполняется в отношении всех счетов, указанных в справке конкретного лица (т.е. открытых по состоянию на отчетную дату), в случае, если сумма денежных средств, поступивших на </w:t>
      </w:r>
      <w:r>
        <w:rPr>
          <w:rFonts w:ascii="Times New Roman" w:hAnsi="Times New Roman"/>
          <w:sz w:val="28"/>
          <w:szCs w:val="28"/>
        </w:rPr>
        <w:t>такие счета в 2023</w:t>
      </w:r>
      <w:r>
        <w:rPr>
          <w:rFonts w:ascii="Times New Roman" w:hAnsi="Times New Roman"/>
          <w:sz w:val="28"/>
        </w:rPr>
        <w:t> году, превышает общий доход служащего (работника</w:t>
      </w:r>
      <w:r>
        <w:rPr>
          <w:rFonts w:ascii="Times New Roman" w:hAnsi="Times New Roman"/>
          <w:sz w:val="28"/>
          <w:szCs w:val="28"/>
        </w:rPr>
        <w:t>),</w:t>
      </w:r>
      <w:r>
        <w:rPr>
          <w:rFonts w:ascii="Times New Roman" w:hAnsi="Times New Roman"/>
          <w:sz w:val="28"/>
        </w:rPr>
        <w:t xml:space="preserve"> его супруги (супруга) </w:t>
      </w:r>
      <w:r>
        <w:rPr>
          <w:rFonts w:ascii="Times New Roman" w:hAnsi="Times New Roman"/>
          <w:sz w:val="28"/>
          <w:szCs w:val="28"/>
        </w:rPr>
        <w:t xml:space="preserve">и несовершеннолетних детей </w:t>
      </w:r>
      <w:r>
        <w:rPr>
          <w:rFonts w:ascii="Times New Roman" w:hAnsi="Times New Roman"/>
          <w:sz w:val="28"/>
        </w:rPr>
        <w:t>за 2021</w:t>
      </w:r>
      <w:r>
        <w:rPr>
          <w:rFonts w:ascii="Times New Roman" w:hAnsi="Times New Roman"/>
          <w:sz w:val="28"/>
          <w:szCs w:val="28"/>
        </w:rPr>
        <w:t>,</w:t>
      </w:r>
      <w:r>
        <w:rPr>
          <w:rFonts w:ascii="Times New Roman" w:hAnsi="Times New Roman"/>
          <w:sz w:val="28"/>
        </w:rPr>
        <w:t xml:space="preserve"> 2022</w:t>
      </w:r>
      <w:r>
        <w:rPr>
          <w:rFonts w:ascii="Times New Roman" w:hAnsi="Times New Roman"/>
          <w:sz w:val="28"/>
          <w:szCs w:val="28"/>
        </w:rPr>
        <w:t xml:space="preserve"> и 2023</w:t>
      </w:r>
      <w:r>
        <w:rPr>
          <w:rFonts w:ascii="Times New Roman" w:hAnsi="Times New Roman"/>
          <w:sz w:val="28"/>
        </w:rPr>
        <w:t xml:space="preserve"> годы (в таком случае в отношении каждого счета указывается сумма поступивших на него в 2023 году денежных средств). </w:t>
      </w:r>
    </w:p>
    <w:p>
      <w:pPr>
        <w:pStyle w:val="Normal"/>
        <w:ind w:firstLine="567"/>
        <w:rPr>
          <w:rFonts w:ascii="Times New Roman" w:hAnsi="Times New Roman"/>
          <w:sz w:val="28"/>
        </w:rPr>
      </w:pPr>
      <w:r>
        <w:rPr>
          <w:rFonts w:ascii="Times New Roman" w:hAnsi="Times New Roman"/>
          <w:sz w:val="28"/>
        </w:rPr>
        <w:t>По счету в драгоценных металлах данная графа не заполняется.</w:t>
      </w:r>
    </w:p>
    <w:p>
      <w:pPr>
        <w:pStyle w:val="Normal"/>
        <w:ind w:firstLine="567"/>
        <w:rPr>
          <w:rFonts w:ascii="Times New Roman" w:hAnsi="Times New Roman"/>
          <w:sz w:val="28"/>
        </w:rPr>
      </w:pPr>
      <w:r>
        <w:rPr>
          <w:rFonts w:ascii="Times New Roman" w:hAnsi="Times New Roman"/>
          <w:sz w:val="28"/>
        </w:rPr>
        <w:t xml:space="preserve">В случае если общая сумма денежных </w:t>
      </w:r>
      <w:r>
        <w:rPr>
          <w:rFonts w:ascii="Times New Roman" w:hAnsi="Times New Roman"/>
          <w:sz w:val="28"/>
          <w:szCs w:val="28"/>
        </w:rPr>
        <w:t>средств, поступивших</w:t>
      </w:r>
      <w:r>
        <w:rPr>
          <w:rFonts w:ascii="Times New Roman" w:hAnsi="Times New Roman"/>
          <w:sz w:val="28"/>
        </w:rPr>
        <w:t xml:space="preserve"> на </w:t>
      </w:r>
      <w:r>
        <w:rPr>
          <w:rFonts w:ascii="Times New Roman" w:hAnsi="Times New Roman"/>
          <w:sz w:val="28"/>
          <w:szCs w:val="28"/>
        </w:rPr>
        <w:t>счета за отчетный период,</w:t>
      </w:r>
      <w:r>
        <w:rPr>
          <w:rFonts w:ascii="Times New Roman" w:hAnsi="Times New Roman"/>
          <w:sz w:val="28"/>
        </w:rPr>
        <w:t xml:space="preserve"> не превышает общий доход служащего (работника</w:t>
      </w:r>
      <w:r>
        <w:rPr>
          <w:rFonts w:ascii="Times New Roman" w:hAnsi="Times New Roman"/>
          <w:sz w:val="28"/>
          <w:szCs w:val="28"/>
        </w:rPr>
        <w:t>),</w:t>
      </w:r>
      <w:r>
        <w:rPr>
          <w:rFonts w:ascii="Times New Roman" w:hAnsi="Times New Roman"/>
          <w:sz w:val="28"/>
        </w:rPr>
        <w:t xml:space="preserve"> его супруга (супруги)</w:t>
      </w:r>
      <w:r>
        <w:rPr>
          <w:rFonts w:ascii="Times New Roman" w:hAnsi="Times New Roman"/>
          <w:sz w:val="28"/>
          <w:szCs w:val="28"/>
        </w:rPr>
        <w:t xml:space="preserve"> и несовершеннолетних детей</w:t>
      </w:r>
      <w:r>
        <w:rPr>
          <w:rFonts w:ascii="Times New Roman" w:hAnsi="Times New Roman"/>
          <w:sz w:val="28"/>
        </w:rPr>
        <w:t xml:space="preserve"> за отчетный период и два предшествующих года, то в СПО "Справки БК" необходимо подтвердить данное обстоятельство путем проставления "флажка" [</w:t>
      </w:r>
      <w:r>
        <w:rPr>
          <w:rFonts w:ascii="Segoe UI Symbol" w:hAnsi="Segoe UI Symbol"/>
          <w:sz w:val="28"/>
        </w:rPr>
        <w:t>✓</w:t>
      </w:r>
      <w:r>
        <w:rPr>
          <w:rFonts w:ascii="Times New Roman" w:hAnsi="Times New Roman"/>
          <w:sz w:val="28"/>
        </w:rPr>
        <w:t xml:space="preserve">] напротив соответствующей позиции. В противном случае необходимо заполнить соответствующие графы в отношении всех счетов, указываемых в справке в отношении отдельного лица. </w:t>
      </w:r>
    </w:p>
    <w:p>
      <w:pPr>
        <w:pStyle w:val="Normal"/>
        <w:ind w:firstLine="567"/>
        <w:rPr>
          <w:rFonts w:ascii="Times New Roman" w:hAnsi="Times New Roman"/>
          <w:sz w:val="28"/>
        </w:rPr>
      </w:pPr>
      <w:r>
        <w:rPr>
          <w:rFonts w:ascii="Times New Roman" w:hAnsi="Times New Roman"/>
          <w:sz w:val="28"/>
        </w:rPr>
        <w:t>При расчете общего дохода служащего (работника</w:t>
      </w:r>
      <w:r>
        <w:rPr>
          <w:rFonts w:ascii="Times New Roman" w:hAnsi="Times New Roman"/>
          <w:sz w:val="28"/>
          <w:szCs w:val="28"/>
        </w:rPr>
        <w:t>),</w:t>
      </w:r>
      <w:r>
        <w:rPr>
          <w:rFonts w:ascii="Times New Roman" w:hAnsi="Times New Roman"/>
          <w:sz w:val="28"/>
        </w:rPr>
        <w:t xml:space="preserve"> его супруги (супруга)</w:t>
      </w:r>
      <w:r>
        <w:rPr>
          <w:rFonts w:ascii="Times New Roman" w:hAnsi="Times New Roman"/>
          <w:sz w:val="28"/>
          <w:szCs w:val="28"/>
        </w:rPr>
        <w:t xml:space="preserve"> и несовершеннолетних детей</w:t>
      </w:r>
      <w:r>
        <w:rPr>
          <w:rFonts w:ascii="Times New Roman" w:hAnsi="Times New Roman"/>
          <w:sz w:val="28"/>
        </w:rPr>
        <w:t xml:space="preserve">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и более лет, предшествующих отчетному периоду (аналогично в отношении супруги (супруга). Если ребенок достиг совершеннолетия в отчетной периоде, его доходы за отчетный период и два предшествующих ему года также не учитываются. </w:t>
      </w:r>
    </w:p>
    <w:p>
      <w:pPr>
        <w:pStyle w:val="Normal"/>
        <w:ind w:firstLine="567"/>
        <w:rPr>
          <w:rFonts w:ascii="Times New Roman" w:hAnsi="Times New Roman"/>
          <w:sz w:val="28"/>
        </w:rPr>
      </w:pPr>
      <w:r>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pPr>
        <w:pStyle w:val="ListParagraph"/>
        <w:ind w:left="0" w:firstLine="567"/>
        <w:rPr>
          <w:rFonts w:ascii="Times New Roman" w:hAnsi="Times New Roman"/>
          <w:sz w:val="28"/>
        </w:rPr>
      </w:pPr>
      <w:r>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Pr>
          <w:rFonts w:ascii="Times New Roman" w:hAnsi="Times New Roman"/>
          <w:b/>
          <w:sz w:val="28"/>
        </w:rPr>
        <w:t>"Сумма поступивших на счет денежных средств</w:t>
      </w:r>
      <w:r>
        <w:rPr>
          <w:rFonts w:ascii="Times New Roman" w:hAnsi="Times New Roman"/>
          <w:b/>
          <w:sz w:val="28"/>
          <w:szCs w:val="28"/>
        </w:rPr>
        <w:t xml:space="preserve"> (руб.)"</w:t>
      </w:r>
      <w:r>
        <w:rPr>
          <w:rFonts w:ascii="Times New Roman" w:hAnsi="Times New Roman"/>
          <w:sz w:val="28"/>
        </w:rPr>
        <w:t xml:space="preserve"> часто подлежит заполнению в связи с незначительными доходами в предыдущие годы.</w:t>
      </w:r>
    </w:p>
    <w:p>
      <w:pPr>
        <w:pStyle w:val="ListParagraph"/>
        <w:ind w:left="0" w:firstLine="567"/>
        <w:rPr>
          <w:rFonts w:ascii="Times New Roman" w:hAnsi="Times New Roman"/>
          <w:sz w:val="28"/>
          <w:szCs w:val="28"/>
        </w:rPr>
      </w:pPr>
      <w:r>
        <w:rPr>
          <w:rFonts w:ascii="Times New Roman" w:hAnsi="Times New Roman"/>
          <w:sz w:val="28"/>
        </w:rPr>
        <w:t xml:space="preserve">Для счетов в иностранной валюте сумма указывается в рублях по курсу Банка России на отчетную дату (с учетом положений пункта </w:t>
      </w:r>
      <w:r>
        <w:rPr>
          <w:rFonts w:eastAsia="Times New Roman" w:ascii="Times New Roman" w:hAnsi="Times New Roman"/>
          <w:sz w:val="28"/>
          <w:szCs w:val="28"/>
          <w:lang w:eastAsia="ru-RU"/>
        </w:rPr>
        <w:t>54</w:t>
      </w:r>
      <w:r>
        <w:rPr>
          <w:rFonts w:ascii="Times New Roman" w:hAnsi="Times New Roman"/>
          <w:sz w:val="28"/>
        </w:rPr>
        <w:t xml:space="preserve"> настоящих Методических рекомендаций).</w:t>
      </w:r>
    </w:p>
    <w:p>
      <w:pPr>
        <w:pStyle w:val="ListParagraph"/>
        <w:numPr>
          <w:ilvl w:val="0"/>
          <w:numId w:val="1"/>
        </w:numPr>
        <w:ind w:left="0" w:firstLine="567"/>
        <w:rPr>
          <w:rFonts w:ascii="Times New Roman" w:hAnsi="Times New Roman"/>
          <w:b/>
          <w:sz w:val="28"/>
          <w:szCs w:val="28"/>
        </w:rPr>
      </w:pPr>
      <w:r>
        <w:rPr>
          <w:rFonts w:ascii="Times New Roman" w:hAnsi="Times New Roman"/>
          <w:b/>
          <w:sz w:val="28"/>
          <w:szCs w:val="28"/>
        </w:rPr>
        <w:t xml:space="preserve">Отдельные аспекты заполнения </w:t>
      </w:r>
      <w:r>
        <w:rPr>
          <w:rFonts w:ascii="Times New Roman" w:hAnsi="Times New Roman"/>
          <w:b/>
          <w:sz w:val="28"/>
        </w:rPr>
        <w:t>графы "Сумма поступивших на счет денежных средств</w:t>
      </w:r>
      <w:r>
        <w:rPr>
          <w:rFonts w:ascii="Times New Roman" w:hAnsi="Times New Roman"/>
          <w:b/>
          <w:sz w:val="28"/>
          <w:szCs w:val="28"/>
        </w:rPr>
        <w:t xml:space="preserve"> (руб.)":</w:t>
      </w:r>
    </w:p>
    <w:p>
      <w:pPr>
        <w:pStyle w:val="ListParagraph"/>
        <w:ind w:left="0" w:firstLine="567"/>
        <w:rPr>
          <w:rFonts w:ascii="Times New Roman" w:hAnsi="Times New Roman"/>
          <w:sz w:val="28"/>
          <w:szCs w:val="28"/>
        </w:rPr>
      </w:pPr>
      <w:r>
        <w:rPr>
          <w:rFonts w:ascii="Times New Roman" w:hAnsi="Times New Roman"/>
          <w:sz w:val="28"/>
          <w:szCs w:val="28"/>
        </w:rPr>
        <w:t>1) с доходом служащего (работника), его супруга (супруги)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в отношении служащего (работника), отдельно в справке в отношении его супруга (супруги), отдельно в справке в отношении его несовершеннолетнего ребенка.</w:t>
      </w:r>
    </w:p>
    <w:p>
      <w:pPr>
        <w:pStyle w:val="ListParagraph"/>
        <w:ind w:left="0" w:firstLine="567"/>
        <w:rPr>
          <w:rFonts w:ascii="Times New Roman" w:hAnsi="Times New Roman"/>
          <w:sz w:val="28"/>
          <w:szCs w:val="28"/>
        </w:rPr>
      </w:pPr>
      <w:r>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pPr>
        <w:pStyle w:val="ListParagraph"/>
        <w:ind w:left="0" w:firstLine="567"/>
        <w:rPr>
          <w:rFonts w:ascii="Times New Roman" w:hAnsi="Times New Roman"/>
          <w:sz w:val="28"/>
          <w:szCs w:val="28"/>
        </w:rPr>
      </w:pPr>
      <w:r>
        <w:rPr>
          <w:rFonts w:ascii="Times New Roman" w:hAnsi="Times New Roman"/>
          <w:sz w:val="28"/>
          <w:szCs w:val="28"/>
        </w:rPr>
        <w:t>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супруга (супруги)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w:t>
      </w:r>
    </w:p>
    <w:p>
      <w:pPr>
        <w:pStyle w:val="ListParagraph"/>
        <w:ind w:left="0" w:firstLine="567"/>
        <w:rPr>
          <w:rFonts w:ascii="Times New Roman" w:hAnsi="Times New Roman"/>
          <w:sz w:val="28"/>
          <w:szCs w:val="28"/>
        </w:rPr>
      </w:pPr>
      <w:r>
        <w:rPr>
          <w:rFonts w:ascii="Times New Roman" w:hAnsi="Times New Roman"/>
          <w:sz w:val="28"/>
          <w:szCs w:val="28"/>
        </w:rPr>
        <w:t>4) денежные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pPr>
        <w:pStyle w:val="ListParagraph"/>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pPr>
        <w:pStyle w:val="ListParagraph"/>
        <w:ind w:left="0" w:firstLine="567"/>
        <w:rPr>
          <w:rFonts w:ascii="Times New Roman" w:hAnsi="Times New Roman"/>
          <w:sz w:val="28"/>
          <w:szCs w:val="28"/>
        </w:rPr>
      </w:pPr>
      <w:r>
        <w:rPr>
          <w:rFonts w:ascii="Times New Roman" w:hAnsi="Times New Roman"/>
          <w:sz w:val="28"/>
          <w:szCs w:val="28"/>
        </w:rPr>
      </w:r>
    </w:p>
    <w:p>
      <w:pPr>
        <w:pStyle w:val="ListParagraph"/>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5):</w:t>
      </w:r>
    </w:p>
    <w:tbl>
      <w:tblPr>
        <w:tblStyle w:val="af4"/>
        <w:tblW w:w="1019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195"/>
      </w:tblGrid>
      <w:tr>
        <w:trPr/>
        <w:tc>
          <w:tcPr>
            <w:tcW w:w="10195" w:type="dxa"/>
            <w:tcBorders/>
            <w:shd w:color="auto" w:fill="FFFFFF" w:themeFill="background1" w:val="clear"/>
          </w:tcPr>
          <w:p>
            <w:pPr>
              <w:pStyle w:val="ListParagraph"/>
              <w:widowControl/>
              <w:tabs>
                <w:tab w:val="clear" w:pos="709"/>
                <w:tab w:val="left" w:pos="454" w:leader="none"/>
                <w:tab w:val="left" w:pos="9390" w:leader="none"/>
              </w:tabs>
              <w:spacing w:before="0" w:after="0"/>
              <w:ind w:lef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По состоянию на отчетную дату и в течение отчетного периода у служащего (работника) открыто два счета, а у его супруги – три; у несовершеннолетних детей счета отсутствуют.</w:t>
            </w:r>
          </w:p>
          <w:p>
            <w:pPr>
              <w:pStyle w:val="ListParagraph"/>
              <w:widowControl/>
              <w:tabs>
                <w:tab w:val="clear" w:pos="709"/>
                <w:tab w:val="left" w:pos="454" w:leader="none"/>
                <w:tab w:val="left" w:pos="9390" w:leader="none"/>
              </w:tabs>
              <w:spacing w:before="0" w:after="0"/>
              <w:ind w:lef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В течение отчетного периода на счета служащего (работника) поступило 300 тыс. руб., а на счета его супруги – 500 тыс. руб.</w:t>
            </w:r>
          </w:p>
          <w:p>
            <w:pPr>
              <w:pStyle w:val="Normal"/>
              <w:widowControl/>
              <w:tabs>
                <w:tab w:val="clear" w:pos="709"/>
                <w:tab w:val="left" w:pos="454" w:leader="none"/>
                <w:tab w:val="left" w:pos="9390" w:leader="none"/>
              </w:tabs>
              <w:spacing w:before="0" w:after="0"/>
              <w:ind w:hanging="0"/>
              <w:rPr>
                <w:rFonts w:ascii="Times New Roman" w:hAnsi="Times New Roman"/>
                <w:iCs/>
                <w:sz w:val="28"/>
                <w:szCs w:val="28"/>
              </w:rPr>
            </w:pPr>
            <w:r>
              <w:rPr>
                <w:rFonts w:eastAsia="Calibri" w:cs="Times New Roman" w:ascii="Times New Roman" w:hAnsi="Times New Roman"/>
                <w:iCs/>
                <w:kern w:val="0"/>
                <w:sz w:val="28"/>
                <w:szCs w:val="28"/>
                <w:lang w:val="ru-RU" w:bidi="ar-SA"/>
              </w:rPr>
              <w:t>Доход служащего (работника), его супруги и несовершеннолетних детей за отчетный период и два предшествующих года (далее в таблице № 5 – совокупный доход) составляет 6000 тыс. руб.</w:t>
            </w:r>
          </w:p>
          <w:p>
            <w:pPr>
              <w:pStyle w:val="Normal"/>
              <w:widowControl/>
              <w:tabs>
                <w:tab w:val="clear" w:pos="709"/>
                <w:tab w:val="left" w:pos="454" w:leader="none"/>
                <w:tab w:val="left" w:pos="9390" w:leader="none"/>
              </w:tabs>
              <w:spacing w:before="0" w:after="0"/>
              <w:ind w:hanging="0"/>
              <w:rPr>
                <w:rFonts w:ascii="Times New Roman" w:hAnsi="Times New Roman"/>
                <w:iCs/>
                <w:sz w:val="28"/>
                <w:szCs w:val="28"/>
              </w:rPr>
            </w:pPr>
            <w:r>
              <w:rPr>
                <w:rFonts w:eastAsia="Calibri" w:cs="Times New Roman" w:ascii="Times New Roman" w:hAnsi="Times New Roman"/>
                <w:iCs/>
                <w:kern w:val="0"/>
                <w:sz w:val="28"/>
                <w:szCs w:val="28"/>
                <w:lang w:val="ru-RU" w:bidi="ar-SA"/>
              </w:rPr>
              <w:t>В данном примере:</w:t>
            </w:r>
          </w:p>
          <w:p>
            <w:pPr>
              <w:pStyle w:val="ListParagraph"/>
              <w:widowControl/>
              <w:numPr>
                <w:ilvl w:val="0"/>
                <w:numId w:val="10"/>
              </w:numPr>
              <w:tabs>
                <w:tab w:val="clear" w:pos="709"/>
                <w:tab w:val="left" w:pos="454" w:leader="none"/>
                <w:tab w:val="left" w:pos="9390" w:leader="none"/>
              </w:tabs>
              <w:spacing w:before="0" w:after="0"/>
              <w:ind w:lef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графа "Сумма поступивших на счет денежных средств (руб.)" раздела 4 справки в отношении служащего (работника) не заполняется;</w:t>
            </w:r>
          </w:p>
          <w:p>
            <w:pPr>
              <w:pStyle w:val="ListParagraph"/>
              <w:widowControl/>
              <w:numPr>
                <w:ilvl w:val="0"/>
                <w:numId w:val="10"/>
              </w:numPr>
              <w:tabs>
                <w:tab w:val="clear" w:pos="709"/>
                <w:tab w:val="left" w:pos="454" w:leader="none"/>
                <w:tab w:val="left" w:pos="9390" w:leader="none"/>
              </w:tabs>
              <w:spacing w:before="0" w:after="0"/>
              <w:ind w:lef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 xml:space="preserve">графа "Сумма поступивших на счет денежных средств (руб.)" раздела 4 справки в отношении его супруги также не заполняется. </w:t>
            </w:r>
          </w:p>
        </w:tc>
      </w:tr>
      <w:tr>
        <w:trPr/>
        <w:tc>
          <w:tcPr>
            <w:tcW w:w="10195" w:type="dxa"/>
            <w:tcBorders/>
            <w:shd w:color="auto" w:fill="FFFFFF" w:themeFill="background1" w:val="clear"/>
          </w:tcPr>
          <w:p>
            <w:pPr>
              <w:pStyle w:val="ListParagraph"/>
              <w:widowControl/>
              <w:tabs>
                <w:tab w:val="clear" w:pos="709"/>
                <w:tab w:val="left" w:pos="454" w:leader="none"/>
                <w:tab w:val="left" w:pos="9390" w:leader="none"/>
              </w:tabs>
              <w:spacing w:before="0" w:after="0"/>
              <w:ind w:lef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По состоянию на отчетную дату и в течение отчетного периода у служащего (работника) открыто три счета.</w:t>
            </w:r>
          </w:p>
          <w:p>
            <w:pPr>
              <w:pStyle w:val="ListParagraph"/>
              <w:widowControl/>
              <w:tabs>
                <w:tab w:val="clear" w:pos="709"/>
                <w:tab w:val="left" w:pos="454" w:leader="none"/>
                <w:tab w:val="left" w:pos="9390" w:leader="none"/>
              </w:tabs>
              <w:spacing w:before="0" w:after="0"/>
              <w:ind w:lef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 xml:space="preserve">В течение отчетного периода на счет "А" поступило 500 тыс. руб. Впоследствии </w:t>
              <w:br/>
              <w:t xml:space="preserve">со счета "А" на счета "Б" и "В" переведены денежные средства: 300 тыс. руб. </w:t>
              <w:br/>
              <w:t>и 100 тыс. руб. соответственно.</w:t>
            </w:r>
          </w:p>
          <w:p>
            <w:pPr>
              <w:pStyle w:val="Normal"/>
              <w:widowControl/>
              <w:tabs>
                <w:tab w:val="clear" w:pos="709"/>
                <w:tab w:val="left" w:pos="454" w:leader="none"/>
                <w:tab w:val="left" w:pos="9390" w:leader="none"/>
              </w:tabs>
              <w:spacing w:before="0" w:after="0"/>
              <w:ind w:hanging="0"/>
              <w:rPr>
                <w:rFonts w:ascii="Times New Roman" w:hAnsi="Times New Roman"/>
                <w:iCs/>
                <w:sz w:val="28"/>
                <w:szCs w:val="28"/>
              </w:rPr>
            </w:pPr>
            <w:r>
              <w:rPr>
                <w:rFonts w:eastAsia="Calibri" w:cs="Times New Roman" w:ascii="Times New Roman" w:hAnsi="Times New Roman"/>
                <w:iCs/>
                <w:kern w:val="0"/>
                <w:sz w:val="28"/>
                <w:szCs w:val="28"/>
                <w:lang w:val="ru-RU" w:bidi="ar-SA"/>
              </w:rPr>
              <w:t>В данном примере:</w:t>
            </w:r>
          </w:p>
          <w:p>
            <w:pPr>
              <w:pStyle w:val="ListParagraph"/>
              <w:widowControl/>
              <w:numPr>
                <w:ilvl w:val="0"/>
                <w:numId w:val="8"/>
              </w:numPr>
              <w:tabs>
                <w:tab w:val="clear" w:pos="709"/>
                <w:tab w:val="left" w:pos="454" w:leader="none"/>
                <w:tab w:val="left" w:pos="9390" w:leader="none"/>
              </w:tabs>
              <w:spacing w:before="0" w:after="0"/>
              <w:ind w:lef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перераспределение (оборот) денежных средств по счетам составил 900 тыс. руб.;</w:t>
            </w:r>
          </w:p>
          <w:p>
            <w:pPr>
              <w:pStyle w:val="ListParagraph"/>
              <w:widowControl/>
              <w:numPr>
                <w:ilvl w:val="0"/>
                <w:numId w:val="8"/>
              </w:numPr>
              <w:tabs>
                <w:tab w:val="clear" w:pos="709"/>
                <w:tab w:val="left" w:pos="454" w:leader="none"/>
                <w:tab w:val="left" w:pos="9390" w:leader="none"/>
              </w:tabs>
              <w:spacing w:before="0" w:after="0"/>
              <w:ind w:lef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сумма денежных средств, поступивших на счета, – 500 тыс. руб.</w:t>
            </w:r>
          </w:p>
          <w:p>
            <w:pPr>
              <w:pStyle w:val="ListParagraph"/>
              <w:widowControl/>
              <w:tabs>
                <w:tab w:val="clear" w:pos="709"/>
                <w:tab w:val="left" w:pos="454" w:leader="none"/>
                <w:tab w:val="left" w:pos="9390" w:leader="none"/>
              </w:tabs>
              <w:spacing w:before="0" w:after="0"/>
              <w:ind w:lef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500 тыс. руб.</w:t>
            </w:r>
          </w:p>
        </w:tc>
      </w:tr>
      <w:tr>
        <w:trPr/>
        <w:tc>
          <w:tcPr>
            <w:tcW w:w="10195" w:type="dxa"/>
            <w:tcBorders/>
            <w:shd w:color="auto" w:fill="FFFFFF" w:themeFill="background1" w:val="clear"/>
          </w:tcPr>
          <w:p>
            <w:pPr>
              <w:pStyle w:val="ListParagraph"/>
              <w:widowControl/>
              <w:tabs>
                <w:tab w:val="clear" w:pos="709"/>
                <w:tab w:val="left" w:pos="454" w:leader="none"/>
                <w:tab w:val="left" w:pos="9390" w:leader="none"/>
              </w:tabs>
              <w:spacing w:before="0" w:after="0"/>
              <w:ind w:lef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По состоянию на отчетную дату и в течение отчетного периода у служащего (работника) открыто два счета.</w:t>
            </w:r>
          </w:p>
          <w:p>
            <w:pPr>
              <w:pStyle w:val="ListParagraph"/>
              <w:widowControl/>
              <w:tabs>
                <w:tab w:val="clear" w:pos="709"/>
                <w:tab w:val="left" w:pos="454" w:leader="none"/>
                <w:tab w:val="left" w:pos="9390" w:leader="none"/>
              </w:tabs>
              <w:spacing w:before="0" w:after="0"/>
              <w:ind w:lef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 xml:space="preserve">В течение отчетного периода на счет "А" поступило 400 тыс. руб.; на счет "Б" – </w:t>
              <w:br/>
              <w:t>300 тыс. руб.</w:t>
            </w:r>
          </w:p>
          <w:p>
            <w:pPr>
              <w:pStyle w:val="ListParagraph"/>
              <w:widowControl/>
              <w:tabs>
                <w:tab w:val="clear" w:pos="709"/>
                <w:tab w:val="left" w:pos="454" w:leader="none"/>
                <w:tab w:val="left" w:pos="9390" w:leader="none"/>
              </w:tabs>
              <w:spacing w:before="0" w:after="0"/>
              <w:ind w:lef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 xml:space="preserve">Сначала со счета "А" на счет "Б" переведены 200 тыс. руб., потом со счета "Б" </w:t>
              <w:br/>
              <w:t>на счет "А" – 500 тыс. руб.</w:t>
            </w:r>
          </w:p>
          <w:p>
            <w:pPr>
              <w:pStyle w:val="Normal"/>
              <w:widowControl/>
              <w:tabs>
                <w:tab w:val="clear" w:pos="709"/>
                <w:tab w:val="left" w:pos="454" w:leader="none"/>
                <w:tab w:val="left" w:pos="9390" w:leader="none"/>
              </w:tabs>
              <w:spacing w:before="0" w:after="0"/>
              <w:ind w:hanging="0"/>
              <w:rPr>
                <w:rFonts w:ascii="Times New Roman" w:hAnsi="Times New Roman"/>
                <w:iCs/>
                <w:sz w:val="28"/>
                <w:szCs w:val="28"/>
              </w:rPr>
            </w:pPr>
            <w:r>
              <w:rPr>
                <w:rFonts w:eastAsia="Calibri" w:cs="Times New Roman" w:ascii="Times New Roman" w:hAnsi="Times New Roman"/>
                <w:iCs/>
                <w:kern w:val="0"/>
                <w:sz w:val="28"/>
                <w:szCs w:val="28"/>
                <w:lang w:val="ru-RU" w:bidi="ar-SA"/>
              </w:rPr>
              <w:t>В данном примере:</w:t>
            </w:r>
          </w:p>
          <w:p>
            <w:pPr>
              <w:pStyle w:val="ListParagraph"/>
              <w:widowControl/>
              <w:numPr>
                <w:ilvl w:val="0"/>
                <w:numId w:val="9"/>
              </w:numPr>
              <w:tabs>
                <w:tab w:val="clear" w:pos="709"/>
                <w:tab w:val="left" w:pos="454" w:leader="none"/>
                <w:tab w:val="left" w:pos="9390" w:leader="none"/>
              </w:tabs>
              <w:spacing w:before="0" w:after="0"/>
              <w:ind w:lef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перераспределение (оборот) денежных средств по счетам составил 1400 тыс. руб.;</w:t>
            </w:r>
          </w:p>
          <w:p>
            <w:pPr>
              <w:pStyle w:val="ListParagraph"/>
              <w:widowControl/>
              <w:numPr>
                <w:ilvl w:val="0"/>
                <w:numId w:val="9"/>
              </w:numPr>
              <w:tabs>
                <w:tab w:val="clear" w:pos="709"/>
                <w:tab w:val="left" w:pos="454" w:leader="none"/>
                <w:tab w:val="left" w:pos="9390" w:leader="none"/>
              </w:tabs>
              <w:spacing w:before="0" w:after="0"/>
              <w:ind w:lef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сумма денежных средств, поступивших на счета, – 700 тыс. руб.</w:t>
            </w:r>
          </w:p>
          <w:p>
            <w:pPr>
              <w:pStyle w:val="ListParagraph"/>
              <w:widowControl/>
              <w:tabs>
                <w:tab w:val="clear" w:pos="709"/>
                <w:tab w:val="left" w:pos="454" w:leader="none"/>
                <w:tab w:val="left" w:pos="9390" w:leader="none"/>
              </w:tabs>
              <w:spacing w:before="0" w:after="0"/>
              <w:ind w:lef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700 тыс. руб.</w:t>
            </w:r>
          </w:p>
        </w:tc>
      </w:tr>
      <w:tr>
        <w:trPr/>
        <w:tc>
          <w:tcPr>
            <w:tcW w:w="10195" w:type="dxa"/>
            <w:tcBorders/>
            <w:shd w:color="auto" w:fill="FFFFFF" w:themeFill="background1" w:val="clear"/>
          </w:tcPr>
          <w:p>
            <w:pPr>
              <w:pStyle w:val="ListParagraph"/>
              <w:widowControl/>
              <w:tabs>
                <w:tab w:val="clear" w:pos="709"/>
                <w:tab w:val="left" w:pos="454" w:leader="none"/>
                <w:tab w:val="left" w:pos="9390" w:leader="none"/>
              </w:tabs>
              <w:spacing w:before="0" w:after="0"/>
              <w:ind w:lef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По состоянию на отчетную дату и в течение отчетного периода у служащего (работника)открыто два счета.</w:t>
            </w:r>
          </w:p>
          <w:p>
            <w:pPr>
              <w:pStyle w:val="ListParagraph"/>
              <w:widowControl/>
              <w:tabs>
                <w:tab w:val="clear" w:pos="709"/>
                <w:tab w:val="left" w:pos="454" w:leader="none"/>
                <w:tab w:val="left" w:pos="9390" w:leader="none"/>
              </w:tabs>
              <w:spacing w:before="0" w:after="0"/>
              <w:ind w:lef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 xml:space="preserve">В течение отчетного периода на счет "А" поступило 500 тыс. руб. Впоследствии </w:t>
              <w:br/>
              <w:t>со счета "А" в банкомате сняли 500 тыс. руб. и зачислили их также с помощью банкомата на счет "Б".</w:t>
            </w:r>
          </w:p>
          <w:p>
            <w:pPr>
              <w:pStyle w:val="Normal"/>
              <w:widowControl/>
              <w:tabs>
                <w:tab w:val="clear" w:pos="709"/>
                <w:tab w:val="left" w:pos="454" w:leader="none"/>
                <w:tab w:val="left" w:pos="9390" w:leader="none"/>
              </w:tabs>
              <w:spacing w:before="0" w:after="0"/>
              <w:ind w:hanging="0"/>
              <w:rPr>
                <w:rFonts w:ascii="Times New Roman" w:hAnsi="Times New Roman"/>
                <w:iCs/>
                <w:sz w:val="28"/>
                <w:szCs w:val="28"/>
              </w:rPr>
            </w:pPr>
            <w:r>
              <w:rPr>
                <w:rFonts w:eastAsia="Calibri" w:cs="Times New Roman" w:ascii="Times New Roman" w:hAnsi="Times New Roman"/>
                <w:iCs/>
                <w:kern w:val="0"/>
                <w:sz w:val="28"/>
                <w:szCs w:val="28"/>
                <w:lang w:val="ru-RU" w:bidi="ar-SA"/>
              </w:rPr>
              <w:t>В данном примере:</w:t>
            </w:r>
          </w:p>
          <w:p>
            <w:pPr>
              <w:pStyle w:val="ListParagraph"/>
              <w:widowControl/>
              <w:numPr>
                <w:ilvl w:val="0"/>
                <w:numId w:val="11"/>
              </w:numPr>
              <w:tabs>
                <w:tab w:val="clear" w:pos="709"/>
                <w:tab w:val="left" w:pos="454" w:leader="none"/>
                <w:tab w:val="left" w:pos="9390" w:leader="none"/>
              </w:tabs>
              <w:spacing w:before="0" w:after="0"/>
              <w:ind w:lef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перераспределение (оборот) денежных средств по счетам составил 1000 тыс. руб.;</w:t>
            </w:r>
          </w:p>
          <w:p>
            <w:pPr>
              <w:pStyle w:val="ListParagraph"/>
              <w:widowControl/>
              <w:numPr>
                <w:ilvl w:val="0"/>
                <w:numId w:val="11"/>
              </w:numPr>
              <w:tabs>
                <w:tab w:val="clear" w:pos="709"/>
                <w:tab w:val="left" w:pos="454" w:leader="none"/>
                <w:tab w:val="left" w:pos="9390" w:leader="none"/>
              </w:tabs>
              <w:spacing w:before="0" w:after="0"/>
              <w:ind w:lef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сумма денежных средств, поступивших на счета, – 1000 тыс. руб.</w:t>
            </w:r>
          </w:p>
          <w:p>
            <w:pPr>
              <w:pStyle w:val="ListParagraph"/>
              <w:widowControl/>
              <w:tabs>
                <w:tab w:val="clear" w:pos="709"/>
                <w:tab w:val="left" w:pos="454" w:leader="none"/>
                <w:tab w:val="left" w:pos="9390" w:leader="none"/>
              </w:tabs>
              <w:spacing w:before="0" w:after="0"/>
              <w:ind w:lef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1000 тыс. руб.</w:t>
            </w:r>
          </w:p>
        </w:tc>
      </w:tr>
    </w:tbl>
    <w:p>
      <w:pPr>
        <w:pStyle w:val="ListParagraph"/>
        <w:ind w:left="0" w:firstLine="567"/>
        <w:rPr>
          <w:rFonts w:ascii="Times New Roman" w:hAnsi="Times New Roman"/>
          <w:sz w:val="28"/>
          <w:szCs w:val="28"/>
        </w:rPr>
      </w:pPr>
      <w:r>
        <w:rPr>
          <w:rFonts w:ascii="Times New Roman" w:hAnsi="Times New Roman"/>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Заполнение </w:t>
      </w:r>
      <w:r>
        <w:rPr>
          <w:rFonts w:ascii="Times New Roman" w:hAnsi="Times New Roman"/>
          <w:b/>
          <w:sz w:val="28"/>
        </w:rPr>
        <w:t>графы "Сумма поступивших на счет денежных средств</w:t>
      </w:r>
      <w:r>
        <w:rPr>
          <w:rFonts w:ascii="Times New Roman" w:hAnsi="Times New Roman"/>
          <w:b/>
          <w:sz w:val="28"/>
          <w:szCs w:val="28"/>
        </w:rPr>
        <w:t xml:space="preserve"> (руб.)" </w:t>
      </w:r>
      <w:r>
        <w:rPr>
          <w:rFonts w:ascii="Times New Roman" w:hAnsi="Times New Roman"/>
          <w:sz w:val="28"/>
          <w:szCs w:val="28"/>
        </w:rPr>
        <w:t>при отсутствии оснований не является нарушением.</w:t>
      </w:r>
    </w:p>
    <w:p>
      <w:pPr>
        <w:pStyle w:val="Normal"/>
        <w:ind w:firstLine="567"/>
        <w:rPr>
          <w:rFonts w:ascii="Times New Roman" w:hAnsi="Times New Roman"/>
          <w:b/>
          <w:sz w:val="28"/>
          <w:szCs w:val="28"/>
        </w:rPr>
      </w:pPr>
      <w:r>
        <w:rPr>
          <w:rFonts w:ascii="Times New Roman" w:hAnsi="Times New Roman"/>
          <w:b/>
          <w:sz w:val="28"/>
          <w:szCs w:val="28"/>
        </w:rPr>
        <w:t>Совместный счет</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pPr>
        <w:pStyle w:val="ListParagraph"/>
        <w:ind w:left="0" w:firstLine="567"/>
        <w:rPr>
          <w:rStyle w:val="Style13"/>
          <w:rFonts w:ascii="Times New Roman" w:hAnsi="Times New Roman" w:cs="Times New Roman"/>
          <w:sz w:val="28"/>
          <w:szCs w:val="28"/>
        </w:rPr>
      </w:pPr>
      <w:r>
        <w:rPr>
          <w:rStyle w:val="Style13"/>
          <w:rFonts w:cs="Times New Roman" w:ascii="Times New Roman" w:hAnsi="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pPr>
        <w:pStyle w:val="ListParagraph"/>
        <w:ind w:left="0" w:firstLine="567"/>
        <w:rPr>
          <w:rStyle w:val="Style13"/>
          <w:rFonts w:ascii="Times New Roman" w:hAnsi="Times New Roman" w:cs="Times New Roman"/>
          <w:sz w:val="28"/>
          <w:szCs w:val="28"/>
        </w:rPr>
      </w:pPr>
      <w:r>
        <w:rPr>
          <w:rStyle w:val="Style13"/>
          <w:rFonts w:cs="Times New Roman" w:ascii="Times New Roman" w:hAnsi="Times New Roman"/>
          <w:sz w:val="28"/>
          <w:szCs w:val="28"/>
        </w:rPr>
        <w:t>В данном случае в каждой подаваемой справке представляется идентичная информация о таком счете.</w:t>
      </w:r>
    </w:p>
    <w:p>
      <w:pPr>
        <w:pStyle w:val="ListParagraph"/>
        <w:ind w:left="0" w:firstLine="567"/>
        <w:rPr>
          <w:rFonts w:ascii="Times New Roman" w:hAnsi="Times New Roman"/>
          <w:b/>
          <w:sz w:val="28"/>
          <w:szCs w:val="28"/>
        </w:rPr>
      </w:pPr>
      <w:r>
        <w:rPr>
          <w:rFonts w:ascii="Times New Roman" w:hAnsi="Times New Roman"/>
          <w:b/>
          <w:sz w:val="28"/>
          <w:szCs w:val="28"/>
        </w:rPr>
        <w:t xml:space="preserve">Кредитные карты, карты с овердрафтом, электронные средства платежа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Банк (иная кредитная организация) выпускает следующие виды карт (таблица № 6):</w:t>
      </w:r>
    </w:p>
    <w:tbl>
      <w:tblPr>
        <w:tblStyle w:val="af4"/>
        <w:tblW w:w="10348"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2126"/>
        <w:gridCol w:w="8221"/>
      </w:tblGrid>
      <w:tr>
        <w:trPr/>
        <w:tc>
          <w:tcPr>
            <w:tcW w:w="2126" w:type="dxa"/>
            <w:tcBorders/>
          </w:tcPr>
          <w:p>
            <w:pPr>
              <w:pStyle w:val="ListParagraph"/>
              <w:widowControl/>
              <w:spacing w:before="0" w:after="0"/>
              <w:ind w:left="0" w:hanging="0"/>
              <w:contextualSpacing/>
              <w:rPr>
                <w:rFonts w:ascii="Times New Roman" w:hAnsi="Times New Roman"/>
                <w:sz w:val="28"/>
                <w:szCs w:val="28"/>
              </w:rPr>
            </w:pPr>
            <w:r>
              <w:rPr>
                <w:rFonts w:eastAsia="Calibri" w:cs="Times New Roman" w:ascii="Times New Roman" w:hAnsi="Times New Roman"/>
                <w:kern w:val="0"/>
                <w:sz w:val="28"/>
                <w:szCs w:val="28"/>
                <w:lang w:val="ru-RU" w:bidi="ar-SA"/>
              </w:rPr>
              <w:t>Расчетная (дебетовая)</w:t>
            </w:r>
          </w:p>
        </w:tc>
        <w:tc>
          <w:tcPr>
            <w:tcW w:w="8221" w:type="dxa"/>
            <w:tcBorders/>
          </w:tcPr>
          <w:p>
            <w:pPr>
              <w:pStyle w:val="ListParagraph"/>
              <w:widowControl/>
              <w:spacing w:before="0" w:after="0"/>
              <w:ind w:left="0" w:hanging="0"/>
              <w:contextualSpacing/>
              <w:rPr>
                <w:rFonts w:ascii="Times New Roman" w:hAnsi="Times New Roman"/>
                <w:sz w:val="28"/>
                <w:szCs w:val="28"/>
              </w:rPr>
            </w:pPr>
            <w:r>
              <w:rPr>
                <w:rFonts w:eastAsia="Calibri" w:cs="Times New Roman" w:ascii="Times New Roman" w:hAnsi="Times New Roman"/>
                <w:kern w:val="0"/>
                <w:sz w:val="28"/>
                <w:szCs w:val="28"/>
                <w:lang w:val="ru-RU" w:bidi="ar-SA"/>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trPr/>
        <w:tc>
          <w:tcPr>
            <w:tcW w:w="2126" w:type="dxa"/>
            <w:tcBorders/>
          </w:tcPr>
          <w:p>
            <w:pPr>
              <w:pStyle w:val="ListParagraph"/>
              <w:widowControl/>
              <w:spacing w:before="0" w:after="0"/>
              <w:ind w:left="0" w:hanging="0"/>
              <w:contextualSpacing/>
              <w:rPr>
                <w:rFonts w:ascii="Times New Roman" w:hAnsi="Times New Roman"/>
                <w:sz w:val="28"/>
                <w:szCs w:val="28"/>
              </w:rPr>
            </w:pPr>
            <w:r>
              <w:rPr>
                <w:rFonts w:eastAsia="Calibri" w:cs="Times New Roman" w:ascii="Times New Roman" w:hAnsi="Times New Roman"/>
                <w:kern w:val="0"/>
                <w:sz w:val="28"/>
                <w:szCs w:val="28"/>
                <w:lang w:val="ru-RU" w:bidi="ar-SA"/>
              </w:rPr>
              <w:t>Кредитная</w:t>
            </w:r>
          </w:p>
        </w:tc>
        <w:tc>
          <w:tcPr>
            <w:tcW w:w="8221" w:type="dxa"/>
            <w:tcBorders/>
          </w:tcPr>
          <w:p>
            <w:pPr>
              <w:pStyle w:val="ListParagraph"/>
              <w:widowControl/>
              <w:spacing w:before="0" w:after="0"/>
              <w:ind w:left="0" w:hanging="0"/>
              <w:contextualSpacing/>
              <w:rPr>
                <w:rFonts w:ascii="Times New Roman" w:hAnsi="Times New Roman"/>
                <w:sz w:val="28"/>
                <w:szCs w:val="28"/>
              </w:rPr>
            </w:pPr>
            <w:r>
              <w:rPr>
                <w:rFonts w:eastAsia="Calibri" w:cs="Times New Roman" w:ascii="Times New Roman" w:hAnsi="Times New Roman"/>
                <w:kern w:val="0"/>
                <w:sz w:val="28"/>
                <w:szCs w:val="28"/>
                <w:lang w:val="ru-RU" w:bidi="ar-SA"/>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Расчетная (дебетовая) и, как правило, кредитные карты предполагают открытие и ведение банком (иной кредитной организацией) счета.</w:t>
      </w:r>
    </w:p>
    <w:p>
      <w:pPr>
        <w:pStyle w:val="ListParagraph"/>
        <w:ind w:left="0" w:firstLine="567"/>
        <w:rPr>
          <w:rFonts w:ascii="Times New Roman" w:hAnsi="Times New Roman"/>
          <w:color w:val="000000"/>
          <w:sz w:val="28"/>
          <w:szCs w:val="28"/>
        </w:rPr>
      </w:pPr>
      <w:r>
        <w:rPr>
          <w:rFonts w:ascii="Times New Roman" w:hAnsi="Times New Roman"/>
          <w:sz w:val="28"/>
          <w:szCs w:val="28"/>
        </w:rPr>
        <w:t xml:space="preserve">Кроме того, необходимо обращать внимание, что </w:t>
      </w:r>
      <w:r>
        <w:rPr>
          <w:rFonts w:ascii="Times New Roman" w:hAnsi="Times New Roman"/>
          <w:color w:val="000000"/>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pPr>
        <w:pStyle w:val="ListParagraph"/>
        <w:ind w:left="0" w:firstLine="567"/>
        <w:rPr>
          <w:rFonts w:ascii="Times New Roman" w:hAnsi="Times New Roman"/>
          <w:sz w:val="28"/>
          <w:szCs w:val="28"/>
        </w:rPr>
      </w:pPr>
      <w:r>
        <w:rPr>
          <w:rFonts w:ascii="Times New Roman" w:hAnsi="Times New Roman"/>
          <w:color w:val="000000"/>
          <w:sz w:val="28"/>
          <w:szCs w:val="28"/>
        </w:rPr>
        <w:t xml:space="preserve">Информация о наличии банковских счетов, открытых с 1 июля 2014 года, </w:t>
        <w:br/>
        <w:t xml:space="preserve">может быть получена в ФНС России. Информацией о ранее открытых счетах </w:t>
        <w:br/>
        <w:t xml:space="preserve">в банках (если такие счета не закрывались либо по ним не было изменений) </w:t>
        <w:br/>
        <w:t xml:space="preserve">налоговые органы не располагают. Порядок обращения за данными </w:t>
        <w:br/>
        <w:t xml:space="preserve">сведениями изложен на официальном сайте ФНС России по ссылке: </w:t>
      </w:r>
      <w:hyperlink r:id="rId25" w:tgtFrame="https://www.nalog.ru/rn77/related_activities/accounting/bank_account/">
        <w:r>
          <w:rPr>
            <w:rStyle w:val="-"/>
            <w:rFonts w:ascii="Times New Roman" w:hAnsi="Times New Roman"/>
            <w:sz w:val="28"/>
            <w:szCs w:val="28"/>
          </w:rPr>
          <w:t>https://www.nalog.ru/rn77/related_activities/accounting/bank_account/</w:t>
        </w:r>
      </w:hyperlink>
      <w:r>
        <w:rPr>
          <w:rFonts w:ascii="Times New Roman" w:hAnsi="Times New Roman"/>
          <w:sz w:val="28"/>
          <w:szCs w:val="28"/>
        </w:rPr>
        <w:t>.</w:t>
      </w:r>
    </w:p>
    <w:p>
      <w:pPr>
        <w:pStyle w:val="ListParagraph"/>
        <w:ind w:left="0" w:firstLine="567"/>
        <w:rPr>
          <w:rFonts w:ascii="Times New Roman" w:hAnsi="Times New Roman"/>
          <w:color w:val="000000"/>
          <w:sz w:val="28"/>
          <w:szCs w:val="28"/>
        </w:rPr>
      </w:pPr>
      <w:r>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Следует обращать внимание, что основанием закрытия счета является прекращение договора счета в установленном порядке или соглашение сторон.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разделе </w:t>
      </w:r>
      <w:r>
        <w:rPr>
          <w:rFonts w:ascii="Times New Roman" w:hAnsi="Times New Roman"/>
          <w:b/>
          <w:sz w:val="28"/>
          <w:szCs w:val="28"/>
        </w:rPr>
        <w:t>не указываются</w:t>
      </w:r>
      <w:r>
        <w:rPr>
          <w:rFonts w:ascii="Times New Roman" w:hAnsi="Times New Roman"/>
          <w:sz w:val="28"/>
          <w:szCs w:val="28"/>
        </w:rPr>
        <w:t>:</w:t>
      </w:r>
    </w:p>
    <w:p>
      <w:pPr>
        <w:pStyle w:val="ListParagraph"/>
        <w:numPr>
          <w:ilvl w:val="1"/>
          <w:numId w:val="1"/>
        </w:numPr>
        <w:ind w:left="0" w:firstLine="567"/>
        <w:rPr>
          <w:rFonts w:ascii="Times New Roman" w:hAnsi="Times New Roman"/>
          <w:sz w:val="28"/>
          <w:szCs w:val="28"/>
        </w:rPr>
      </w:pPr>
      <w:r>
        <w:rPr>
          <w:rFonts w:ascii="Times New Roman" w:hAnsi="Times New Roman"/>
          <w:sz w:val="28"/>
        </w:rPr>
        <w:t>счета</w:t>
      </w:r>
      <w:r>
        <w:rPr>
          <w:rFonts w:ascii="Times New Roman" w:hAnsi="Times New Roman"/>
          <w:sz w:val="28"/>
          <w:szCs w:val="28"/>
        </w:rPr>
        <w:t xml:space="preserve">,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 </w:t>
      </w:r>
    </w:p>
    <w:p>
      <w:pPr>
        <w:pStyle w:val="ListParagraph"/>
        <w:numPr>
          <w:ilvl w:val="1"/>
          <w:numId w:val="1"/>
        </w:numPr>
        <w:ind w:left="0" w:firstLine="567"/>
        <w:rPr>
          <w:rFonts w:ascii="Times New Roman" w:hAnsi="Times New Roman"/>
          <w:sz w:val="28"/>
          <w:szCs w:val="28"/>
        </w:rPr>
      </w:pPr>
      <w:r>
        <w:rPr>
          <w:rFonts w:ascii="Times New Roman" w:hAnsi="Times New Roman"/>
          <w:sz w:val="28"/>
          <w:szCs w:val="28"/>
        </w:rPr>
        <w:t xml:space="preserve">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w:t>
      </w:r>
    </w:p>
    <w:p>
      <w:pPr>
        <w:pStyle w:val="ListParagraph"/>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 в том числе "электронные кошельки" (например, "ЮMoney", "</w:t>
      </w:r>
      <w:r>
        <w:rPr>
          <w:rFonts w:ascii="Times New Roman" w:hAnsi="Times New Roman"/>
          <w:sz w:val="28"/>
          <w:szCs w:val="28"/>
          <w:lang w:val="en-US"/>
        </w:rPr>
        <w:t>Qiwi</w:t>
      </w:r>
      <w:r>
        <w:rPr>
          <w:rFonts w:ascii="Times New Roman" w:hAnsi="Times New Roman"/>
          <w:sz w:val="28"/>
          <w:szCs w:val="28"/>
        </w:rPr>
        <w:t xml:space="preserve"> кошелек"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pPr>
        <w:pStyle w:val="Normal"/>
        <w:rPr>
          <w:rFonts w:ascii="Times New Roman" w:hAnsi="Times New Roman"/>
          <w:sz w:val="28"/>
          <w:szCs w:val="28"/>
        </w:rPr>
      </w:pPr>
      <w:r>
        <w:rPr>
          <w:rFonts w:ascii="Times New Roman" w:hAnsi="Times New Roman"/>
          <w:sz w:val="28"/>
          <w:szCs w:val="28"/>
        </w:rPr>
        <w:t>Под электронным средством платежа в соответствии с пунктом 19 статьи 3 Федерального закона от 27 июня 2011 г. №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pPr>
        <w:pStyle w:val="ListParagraph"/>
        <w:ind w:left="0" w:firstLine="567"/>
        <w:rPr>
          <w:rFonts w:ascii="Times New Roman" w:hAnsi="Times New Roman"/>
          <w:sz w:val="28"/>
          <w:szCs w:val="28"/>
        </w:rPr>
      </w:pPr>
      <w:r>
        <w:rPr>
          <w:rFonts w:ascii="Times New Roman" w:hAnsi="Times New Roman"/>
          <w:b/>
          <w:sz w:val="28"/>
          <w:szCs w:val="28"/>
        </w:rPr>
        <w:t xml:space="preserve">Отзыв лицензии у кредитной организации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pPr>
        <w:pStyle w:val="ListParagraph"/>
        <w:ind w:left="0" w:firstLine="567"/>
        <w:rPr>
          <w:rFonts w:ascii="Times New Roman" w:hAnsi="Times New Roman"/>
          <w:b/>
          <w:sz w:val="28"/>
          <w:szCs w:val="28"/>
        </w:rPr>
      </w:pPr>
      <w:r>
        <w:rPr>
          <w:rFonts w:ascii="Times New Roman" w:hAnsi="Times New Roman"/>
          <w:b/>
          <w:sz w:val="28"/>
          <w:szCs w:val="28"/>
        </w:rPr>
        <w:t>Ликвидация кредитной организации</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pPr>
        <w:pStyle w:val="ListParagraph"/>
        <w:widowControl w:val="false"/>
        <w:ind w:left="0" w:firstLine="567"/>
        <w:rPr>
          <w:rFonts w:ascii="Times New Roman" w:hAnsi="Times New Roman"/>
          <w:sz w:val="28"/>
          <w:szCs w:val="28"/>
        </w:rPr>
      </w:pPr>
      <w:r>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26" w:tgtFrame="https://www.cbr.ru/banking_sector/likvidbase/">
        <w:r>
          <w:rPr>
            <w:rStyle w:val="-"/>
            <w:rFonts w:ascii="Times New Roman" w:hAnsi="Times New Roman"/>
            <w:sz w:val="28"/>
            <w:szCs w:val="28"/>
          </w:rPr>
          <w:t>https://www.cbr.ru/banking_sector/likvidbase/</w:t>
        </w:r>
      </w:hyperlink>
      <w:r>
        <w:rPr>
          <w:rFonts w:ascii="Times New Roman" w:hAnsi="Times New Roman"/>
          <w:sz w:val="28"/>
          <w:szCs w:val="28"/>
        </w:rPr>
        <w:t xml:space="preserve">. </w:t>
      </w:r>
    </w:p>
    <w:p>
      <w:pPr>
        <w:pStyle w:val="Normal"/>
        <w:ind w:firstLine="851"/>
        <w:jc w:val="center"/>
        <w:rPr>
          <w:rFonts w:ascii="Times New Roman" w:hAnsi="Times New Roman"/>
          <w:sz w:val="28"/>
          <w:szCs w:val="28"/>
        </w:rPr>
      </w:pPr>
      <w:r>
        <w:rPr>
          <w:rFonts w:ascii="Times New Roman" w:hAnsi="Times New Roman"/>
          <w:sz w:val="28"/>
          <w:szCs w:val="28"/>
        </w:rPr>
      </w:r>
    </w:p>
    <w:p>
      <w:pPr>
        <w:pStyle w:val="Normal"/>
        <w:ind w:firstLine="851"/>
        <w:jc w:val="center"/>
        <w:rPr>
          <w:rFonts w:ascii="Times New Roman" w:hAnsi="Times New Roman"/>
          <w:sz w:val="28"/>
          <w:szCs w:val="28"/>
        </w:rPr>
      </w:pPr>
      <w:r>
        <w:rPr>
          <w:rFonts w:ascii="Times New Roman" w:hAnsi="Times New Roman"/>
          <w:sz w:val="28"/>
          <w:szCs w:val="28"/>
        </w:rPr>
      </w:r>
    </w:p>
    <w:p>
      <w:pPr>
        <w:pStyle w:val="Normal"/>
        <w:ind w:firstLine="851"/>
        <w:jc w:val="center"/>
        <w:rPr>
          <w:rFonts w:ascii="Times New Roman" w:hAnsi="Times New Roman"/>
          <w:sz w:val="28"/>
          <w:szCs w:val="28"/>
        </w:rPr>
      </w:pPr>
      <w:r>
        <w:rPr>
          <w:rFonts w:ascii="Times New Roman" w:hAnsi="Times New Roman"/>
          <w:sz w:val="28"/>
          <w:szCs w:val="28"/>
        </w:rPr>
      </w:r>
    </w:p>
    <w:p>
      <w:pPr>
        <w:pStyle w:val="Normal"/>
        <w:ind w:hanging="0"/>
        <w:jc w:val="center"/>
        <w:rPr>
          <w:rFonts w:ascii="Times New Roman" w:hAnsi="Times New Roman"/>
          <w:b/>
          <w:sz w:val="28"/>
          <w:szCs w:val="28"/>
        </w:rPr>
      </w:pPr>
      <w:r>
        <w:rPr>
          <w:rFonts w:ascii="Times New Roman" w:hAnsi="Times New Roman"/>
          <w:b/>
          <w:sz w:val="28"/>
          <w:szCs w:val="28"/>
        </w:rPr>
        <w:t>РАЗДЕЛ 5. СВЕДЕНИЯ О ЦЕННЫХ БУМАГАХ</w:t>
      </w:r>
    </w:p>
    <w:p>
      <w:pPr>
        <w:pStyle w:val="Normal"/>
        <w:ind w:firstLine="851"/>
        <w:jc w:val="center"/>
        <w:rPr>
          <w:rFonts w:ascii="Times New Roman" w:hAnsi="Times New Roman"/>
          <w:sz w:val="28"/>
          <w:szCs w:val="28"/>
        </w:rPr>
      </w:pPr>
      <w:r>
        <w:rPr>
          <w:rFonts w:ascii="Times New Roman" w:hAnsi="Times New Roman"/>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w:t>
      </w:r>
      <w:r>
        <w:rPr>
          <w:rFonts w:ascii="Times New Roman" w:hAnsi="Times New Roman"/>
          <w:b/>
          <w:sz w:val="28"/>
        </w:rPr>
        <w:t>"Доход от ценных бумаг и долей участия в коммерческих организациях"</w:t>
      </w:r>
      <w:r>
        <w:rPr>
          <w:rFonts w:ascii="Times New Roman" w:hAnsi="Times New Roman"/>
          <w:sz w:val="28"/>
          <w:szCs w:val="28"/>
        </w:rPr>
        <w:t>).</w:t>
      </w:r>
    </w:p>
    <w:p>
      <w:pPr>
        <w:pStyle w:val="ListParagraph"/>
        <w:ind w:left="0" w:firstLine="567"/>
        <w:rPr>
          <w:rFonts w:ascii="Times New Roman" w:hAnsi="Times New Roman"/>
          <w:sz w:val="28"/>
          <w:szCs w:val="28"/>
        </w:rPr>
      </w:pPr>
      <w:r>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pPr>
        <w:pStyle w:val="ListParagraph"/>
        <w:ind w:left="0" w:firstLine="567"/>
        <w:rPr>
          <w:rFonts w:ascii="Times New Roman" w:hAnsi="Times New Roman"/>
          <w:sz w:val="28"/>
          <w:szCs w:val="28"/>
        </w:rPr>
      </w:pPr>
      <w:r>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pPr>
        <w:pStyle w:val="ListParagraph"/>
        <w:ind w:left="0" w:firstLine="567"/>
        <w:rPr>
          <w:rFonts w:ascii="Times New Roman" w:hAnsi="Times New Roman"/>
          <w:sz w:val="28"/>
          <w:szCs w:val="28"/>
        </w:rPr>
      </w:pPr>
      <w:r>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pPr>
        <w:pStyle w:val="ListParagraph"/>
        <w:ind w:left="0" w:firstLine="567"/>
        <w:rPr>
          <w:rFonts w:ascii="Times New Roman" w:hAnsi="Times New Roman"/>
          <w:sz w:val="28"/>
          <w:szCs w:val="28"/>
        </w:rPr>
      </w:pPr>
      <w:r>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pPr>
        <w:pStyle w:val="ListParagraph"/>
        <w:ind w:left="0" w:firstLine="567"/>
        <w:rPr>
          <w:rFonts w:ascii="Times New Roman" w:hAnsi="Times New Roman"/>
          <w:sz w:val="28"/>
          <w:szCs w:val="28"/>
        </w:rPr>
      </w:pPr>
      <w:r>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pPr>
        <w:pStyle w:val="ListParagraph"/>
        <w:ind w:left="0" w:firstLine="567"/>
        <w:rPr>
          <w:rFonts w:ascii="Times New Roman" w:hAnsi="Times New Roman"/>
          <w:sz w:val="28"/>
          <w:szCs w:val="28"/>
        </w:rPr>
      </w:pPr>
      <w:r>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pPr>
        <w:pStyle w:val="ListParagraph"/>
        <w:ind w:left="0" w:firstLine="567"/>
        <w:rPr>
          <w:rFonts w:ascii="Times New Roman" w:hAnsi="Times New Roman"/>
          <w:sz w:val="28"/>
          <w:szCs w:val="28"/>
        </w:rPr>
      </w:pPr>
      <w:r>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pPr>
        <w:pStyle w:val="Normal"/>
        <w:ind w:firstLine="567"/>
        <w:rPr>
          <w:rFonts w:ascii="Times New Roman" w:hAnsi="Times New Roman"/>
          <w:b/>
          <w:sz w:val="28"/>
          <w:szCs w:val="28"/>
        </w:rPr>
      </w:pPr>
      <w:r>
        <w:rPr>
          <w:rFonts w:ascii="Times New Roman" w:hAnsi="Times New Roman"/>
          <w:b/>
          <w:sz w:val="28"/>
          <w:szCs w:val="28"/>
        </w:rPr>
        <w:t xml:space="preserve">Подраздел 5.1. Акции и иное участие в коммерческих организациях и фондах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"Наименование и организационно-правовая форма организации</w:t>
      </w:r>
      <w:r>
        <w:rPr>
          <w:rFonts w:ascii="Times New Roman" w:hAnsi="Times New Roman"/>
          <w:b/>
          <w:sz w:val="28"/>
        </w:rPr>
        <w:t>"</w:t>
      </w:r>
      <w:r>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pPr>
        <w:pStyle w:val="Normal"/>
        <w:tabs>
          <w:tab w:val="clear" w:pos="709"/>
          <w:tab w:val="left" w:pos="426" w:leader="none"/>
        </w:tabs>
        <w:ind w:firstLine="567"/>
        <w:rPr>
          <w:rFonts w:ascii="Times New Roman" w:hAnsi="Times New Roman"/>
          <w:sz w:val="28"/>
          <w:szCs w:val="28"/>
        </w:rPr>
      </w:pPr>
      <w:r>
        <w:rPr>
          <w:rFonts w:ascii="Times New Roman" w:hAnsi="Times New Roman"/>
          <w:sz w:val="28"/>
          <w:szCs w:val="28"/>
        </w:rP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Местонахождение организации (адрес)</w:t>
      </w:r>
      <w:r>
        <w:rPr>
          <w:rFonts w:ascii="Times New Roman" w:hAnsi="Times New Roman"/>
          <w:b/>
          <w:sz w:val="28"/>
        </w:rPr>
        <w:t>"</w:t>
      </w:r>
      <w:r>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pPr>
        <w:pStyle w:val="ListParagraph"/>
        <w:numPr>
          <w:ilvl w:val="0"/>
          <w:numId w:val="1"/>
        </w:numPr>
        <w:ind w:left="0" w:firstLine="567"/>
        <w:rPr>
          <w:rFonts w:ascii="Times New Roman" w:hAnsi="Times New Roman"/>
          <w:sz w:val="28"/>
          <w:szCs w:val="28"/>
        </w:rPr>
      </w:pPr>
      <w:r>
        <w:rPr>
          <w:rFonts w:ascii="Times New Roman" w:hAnsi="Times New Roman"/>
          <w:b/>
          <w:sz w:val="28"/>
          <w:szCs w:val="28"/>
        </w:rPr>
        <w:t>Уставный капитал</w:t>
      </w:r>
      <w:r>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w:t>
      </w:r>
      <w:r>
        <w:rPr>
          <w:rFonts w:eastAsia="Times New Roman" w:ascii="Times New Roman" w:hAnsi="Times New Roman"/>
          <w:sz w:val="28"/>
          <w:szCs w:val="28"/>
          <w:lang w:eastAsia="ru-RU"/>
        </w:rPr>
        <w:t>(с учетом положений пункта 54 настоящих Методических рекомендаций)</w:t>
      </w:r>
      <w:r>
        <w:rPr>
          <w:rFonts w:ascii="Times New Roman" w:hAnsi="Times New Roman"/>
          <w:sz w:val="28"/>
          <w:szCs w:val="28"/>
        </w:rPr>
        <w:t xml:space="preserve">. </w:t>
      </w:r>
    </w:p>
    <w:p>
      <w:pPr>
        <w:pStyle w:val="ListParagraph"/>
        <w:ind w:left="0" w:firstLine="567"/>
        <w:rPr>
          <w:rFonts w:ascii="Times New Roman" w:hAnsi="Times New Roman"/>
          <w:sz w:val="28"/>
          <w:szCs w:val="28"/>
        </w:rPr>
      </w:pPr>
      <w:r>
        <w:rPr>
          <w:rFonts w:ascii="Times New Roman" w:hAnsi="Times New Roman"/>
          <w:sz w:val="28"/>
          <w:szCs w:val="28"/>
        </w:rPr>
        <w:t>Если законодательством не предусмотрено формирование уставного капитала, то указывается "0 руб.".</w:t>
      </w:r>
    </w:p>
    <w:p>
      <w:pPr>
        <w:pStyle w:val="ListParagraph"/>
        <w:ind w:left="0" w:firstLine="567"/>
        <w:rPr>
          <w:rFonts w:ascii="Times New Roman" w:hAnsi="Times New Roman"/>
          <w:sz w:val="28"/>
          <w:szCs w:val="28"/>
        </w:rPr>
      </w:pPr>
      <w:r>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pPr>
        <w:pStyle w:val="ListParagraph"/>
        <w:numPr>
          <w:ilvl w:val="0"/>
          <w:numId w:val="1"/>
        </w:numPr>
        <w:ind w:left="0" w:firstLine="567"/>
        <w:rPr>
          <w:rFonts w:ascii="Times New Roman" w:hAnsi="Times New Roman"/>
          <w:sz w:val="28"/>
          <w:szCs w:val="28"/>
        </w:rPr>
      </w:pPr>
      <w:bookmarkStart w:id="5" w:name="Par620"/>
      <w:bookmarkEnd w:id="5"/>
      <w:r>
        <w:rPr>
          <w:rFonts w:ascii="Times New Roman" w:hAnsi="Times New Roman"/>
          <w:b/>
          <w:sz w:val="28"/>
          <w:szCs w:val="28"/>
        </w:rPr>
        <w:t xml:space="preserve">Доля участия </w:t>
      </w:r>
      <w:r>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СПО "Справки БК" предусмотрена графа </w:t>
      </w:r>
      <w:r>
        <w:rPr>
          <w:rFonts w:ascii="Times New Roman" w:hAnsi="Times New Roman"/>
          <w:b/>
          <w:sz w:val="28"/>
        </w:rPr>
        <w:t>"Общая стоимость</w:t>
      </w:r>
      <w:r>
        <w:rPr>
          <w:rFonts w:ascii="Times New Roman" w:hAnsi="Times New Roman"/>
          <w:b/>
          <w:sz w:val="28"/>
          <w:szCs w:val="28"/>
        </w:rPr>
        <w:t xml:space="preserve"> (руб.)"</w:t>
      </w:r>
      <w:r>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pPr>
        <w:pStyle w:val="ListParagraph"/>
        <w:ind w:left="0" w:firstLine="567"/>
        <w:rPr>
          <w:rFonts w:ascii="Times New Roman" w:hAnsi="Times New Roman"/>
          <w:sz w:val="28"/>
          <w:szCs w:val="28"/>
        </w:rPr>
      </w:pPr>
      <w:r>
        <w:rPr>
          <w:rFonts w:ascii="Times New Roman" w:hAnsi="Times New Roman"/>
          <w:sz w:val="28"/>
          <w:szCs w:val="28"/>
        </w:rPr>
        <w:t xml:space="preserve">Для обязательств, выраженных в иностранной валюте, стоимость указывается в рублях по курсу Банка России на отчетную дату </w:t>
      </w:r>
      <w:r>
        <w:rPr>
          <w:rFonts w:eastAsia="Times New Roman" w:ascii="Times New Roman" w:hAnsi="Times New Roman"/>
          <w:sz w:val="28"/>
          <w:szCs w:val="28"/>
          <w:lang w:eastAsia="ru-RU"/>
        </w:rPr>
        <w:t>(с учетом положений пункта 54 настоящих Методических рекомендаций)</w:t>
      </w:r>
      <w:r>
        <w:rPr>
          <w:rFonts w:ascii="Times New Roman" w:hAnsi="Times New Roman"/>
          <w:sz w:val="28"/>
          <w:szCs w:val="28"/>
        </w:rPr>
        <w:t xml:space="preserve">. </w:t>
      </w:r>
    </w:p>
    <w:p>
      <w:pPr>
        <w:pStyle w:val="ListParagraph"/>
        <w:ind w:left="0" w:firstLine="567"/>
        <w:rPr>
          <w:rFonts w:ascii="Times New Roman" w:hAnsi="Times New Roman"/>
          <w:sz w:val="28"/>
          <w:szCs w:val="28"/>
        </w:rPr>
      </w:pPr>
      <w:r>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Основание участия</w:t>
      </w:r>
      <w:r>
        <w:rPr>
          <w:rFonts w:ascii="Times New Roman" w:hAnsi="Times New Roman"/>
          <w:b/>
          <w:sz w:val="28"/>
        </w:rPr>
        <w:t>"</w:t>
      </w:r>
      <w:r>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pPr>
        <w:pStyle w:val="ListParagraph"/>
        <w:ind w:left="0" w:firstLine="567"/>
        <w:rPr>
          <w:rFonts w:ascii="Times New Roman" w:hAnsi="Times New Roman"/>
          <w:sz w:val="28"/>
          <w:szCs w:val="28"/>
        </w:rPr>
      </w:pPr>
      <w:r>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Pr>
          <w:rFonts w:ascii="Times New Roman" w:hAnsi="Times New Roman"/>
          <w:b/>
          <w:sz w:val="28"/>
        </w:rPr>
        <w:t>"</w:t>
      </w:r>
      <w:r>
        <w:rPr>
          <w:rFonts w:ascii="Times New Roman" w:hAnsi="Times New Roman"/>
          <w:b/>
          <w:sz w:val="28"/>
          <w:szCs w:val="28"/>
        </w:rPr>
        <w:t>Основание участия</w:t>
      </w:r>
      <w:r>
        <w:rPr>
          <w:rFonts w:ascii="Times New Roman" w:hAnsi="Times New Roman"/>
          <w:b/>
          <w:sz w:val="28"/>
        </w:rPr>
        <w:t>"</w:t>
      </w:r>
      <w:r>
        <w:rPr>
          <w:rFonts w:ascii="Times New Roman" w:hAnsi="Times New Roman"/>
          <w:sz w:val="28"/>
          <w:szCs w:val="28"/>
        </w:rPr>
        <w:t xml:space="preserve"> указывается "приобретено на организованных торгах", а также указывается год приобретения.</w:t>
      </w:r>
    </w:p>
    <w:p>
      <w:pPr>
        <w:pStyle w:val="ListParagraph"/>
        <w:ind w:left="567" w:hanging="0"/>
        <w:rPr>
          <w:rFonts w:ascii="Times New Roman" w:hAnsi="Times New Roman"/>
          <w:b/>
          <w:sz w:val="28"/>
          <w:szCs w:val="28"/>
        </w:rPr>
      </w:pPr>
      <w:r>
        <w:rPr>
          <w:rFonts w:ascii="Times New Roman" w:hAnsi="Times New Roman"/>
          <w:b/>
          <w:sz w:val="28"/>
          <w:szCs w:val="28"/>
        </w:rPr>
        <w:t>Подраздел 5.2. Иные ценные бумаги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Номинальная величина обязательства (руб.)"</w:t>
      </w:r>
      <w:r>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pPr>
        <w:pStyle w:val="ListParagraph"/>
        <w:ind w:left="0" w:firstLine="567"/>
        <w:rPr>
          <w:rFonts w:ascii="Times New Roman" w:hAnsi="Times New Roman"/>
          <w:sz w:val="28"/>
          <w:szCs w:val="28"/>
        </w:rPr>
      </w:pPr>
      <w:r>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Общая стоимость (руб.)"</w:t>
      </w:r>
      <w:r>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pPr>
        <w:pStyle w:val="ListParagraph"/>
        <w:ind w:left="0" w:firstLine="567"/>
        <w:rPr>
          <w:rFonts w:ascii="Times New Roman" w:hAnsi="Times New Roman"/>
          <w:sz w:val="28"/>
          <w:szCs w:val="28"/>
        </w:rPr>
      </w:pPr>
      <w:r>
        <w:rPr>
          <w:rFonts w:ascii="Times New Roman" w:hAnsi="Times New Roman"/>
          <w:sz w:val="28"/>
          <w:szCs w:val="28"/>
        </w:rPr>
        <w:t xml:space="preserve">Для обязательств, выраженных в иностранной валюте, стоимость указывается в рублях по курсу Банка России на отчетную дату </w:t>
      </w:r>
      <w:r>
        <w:rPr>
          <w:rFonts w:eastAsia="Times New Roman" w:ascii="Times New Roman" w:hAnsi="Times New Roman"/>
          <w:sz w:val="28"/>
          <w:szCs w:val="28"/>
          <w:lang w:eastAsia="ru-RU"/>
        </w:rPr>
        <w:t>(с учетом положений пункта 54 настоящих Методических рекомендаций)</w:t>
      </w:r>
      <w:r>
        <w:rPr>
          <w:rFonts w:ascii="Times New Roman" w:hAnsi="Times New Roman"/>
          <w:sz w:val="28"/>
          <w:szCs w:val="28"/>
        </w:rPr>
        <w:t xml:space="preserve">. </w:t>
      </w:r>
    </w:p>
    <w:p>
      <w:pPr>
        <w:pStyle w:val="ListParagraph"/>
        <w:numPr>
          <w:ilvl w:val="0"/>
          <w:numId w:val="1"/>
        </w:numPr>
        <w:tabs>
          <w:tab w:val="clear" w:pos="709"/>
          <w:tab w:val="left" w:pos="1418" w:leader="none"/>
        </w:tabs>
        <w:ind w:left="0" w:firstLine="567"/>
        <w:rPr>
          <w:rFonts w:ascii="Times New Roman" w:hAnsi="Times New Roman"/>
          <w:sz w:val="28"/>
          <w:szCs w:val="28"/>
        </w:rPr>
      </w:pPr>
      <w:r>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pPr>
        <w:pStyle w:val="ListParagraph"/>
        <w:tabs>
          <w:tab w:val="clear" w:pos="709"/>
          <w:tab w:val="left" w:pos="1418" w:leader="none"/>
        </w:tabs>
        <w:ind w:left="0" w:firstLine="567"/>
        <w:rPr>
          <w:rFonts w:ascii="Times New Roman" w:hAnsi="Times New Roman"/>
          <w:sz w:val="28"/>
          <w:szCs w:val="28"/>
        </w:rPr>
      </w:pPr>
      <w:r>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 28-7/10/В-12862 (</w:t>
      </w:r>
      <w:hyperlink r:id="rId27">
        <w:r>
          <w:rPr>
            <w:rStyle w:val="-"/>
            <w:rFonts w:ascii="Times New Roman" w:hAnsi="Times New Roman"/>
            <w:sz w:val="28"/>
            <w:szCs w:val="28"/>
          </w:rPr>
          <w:t>https://mintrud.gov.ru/ministry/programms/anticorruption/9/21</w:t>
        </w:r>
      </w:hyperlink>
      <w:r>
        <w:rPr>
          <w:rFonts w:ascii="Times New Roman" w:hAnsi="Times New Roman"/>
          <w:sz w:val="28"/>
          <w:szCs w:val="28"/>
        </w:rPr>
        <w:t>).</w:t>
      </w:r>
    </w:p>
    <w:p>
      <w:pPr>
        <w:pStyle w:val="ListParagraph"/>
        <w:tabs>
          <w:tab w:val="clear" w:pos="709"/>
          <w:tab w:val="left" w:pos="1418" w:leader="none"/>
        </w:tabs>
        <w:ind w:left="0" w:firstLine="567"/>
        <w:rPr>
          <w:rFonts w:ascii="Times New Roman" w:hAnsi="Times New Roman"/>
          <w:sz w:val="28"/>
          <w:szCs w:val="28"/>
        </w:rPr>
      </w:pPr>
      <w:r>
        <w:rPr>
          <w:rFonts w:ascii="Times New Roman" w:hAnsi="Times New Roman"/>
          <w:sz w:val="28"/>
          <w:szCs w:val="28"/>
        </w:rPr>
      </w:r>
    </w:p>
    <w:p>
      <w:pPr>
        <w:pStyle w:val="Normal"/>
        <w:ind w:hanging="0"/>
        <w:jc w:val="center"/>
        <w:rPr>
          <w:rFonts w:ascii="Times New Roman" w:hAnsi="Times New Roman"/>
          <w:b/>
          <w:sz w:val="28"/>
          <w:szCs w:val="28"/>
        </w:rPr>
      </w:pPr>
      <w:r>
        <w:rPr>
          <w:rFonts w:ascii="Times New Roman" w:hAnsi="Times New Roman"/>
          <w:b/>
          <w:sz w:val="28"/>
          <w:szCs w:val="28"/>
        </w:rPr>
        <w:t xml:space="preserve">РАЗДЕЛ 6. СВЕДЕНИЯ ОБ ОБЯЗАТЕЛЬСТВАХ </w:t>
      </w:r>
    </w:p>
    <w:p>
      <w:pPr>
        <w:pStyle w:val="Normal"/>
        <w:ind w:hanging="0"/>
        <w:jc w:val="center"/>
        <w:rPr>
          <w:rFonts w:ascii="Times New Roman" w:hAnsi="Times New Roman"/>
          <w:b/>
          <w:sz w:val="28"/>
          <w:szCs w:val="28"/>
        </w:rPr>
      </w:pPr>
      <w:r>
        <w:rPr>
          <w:rFonts w:ascii="Times New Roman" w:hAnsi="Times New Roman"/>
          <w:b/>
          <w:sz w:val="28"/>
          <w:szCs w:val="28"/>
        </w:rPr>
        <w:t>ИМУЩЕСТВЕННОГО ХАРАКТЕРА</w:t>
      </w:r>
    </w:p>
    <w:p>
      <w:pPr>
        <w:pStyle w:val="Normal"/>
        <w:ind w:firstLine="851"/>
        <w:jc w:val="center"/>
        <w:rPr>
          <w:rFonts w:ascii="Times New Roman" w:hAnsi="Times New Roman"/>
          <w:sz w:val="28"/>
          <w:szCs w:val="28"/>
        </w:rPr>
      </w:pPr>
      <w:r>
        <w:rPr>
          <w:rFonts w:ascii="Times New Roman" w:hAnsi="Times New Roman"/>
          <w:sz w:val="28"/>
          <w:szCs w:val="28"/>
        </w:rPr>
      </w:r>
    </w:p>
    <w:p>
      <w:pPr>
        <w:pStyle w:val="Normal"/>
        <w:ind w:firstLine="567"/>
        <w:rPr>
          <w:rFonts w:ascii="Times New Roman" w:hAnsi="Times New Roman"/>
          <w:b/>
          <w:sz w:val="28"/>
          <w:szCs w:val="28"/>
        </w:rPr>
      </w:pPr>
      <w:r>
        <w:rPr>
          <w:rFonts w:ascii="Times New Roman" w:hAnsi="Times New Roman"/>
          <w:b/>
          <w:sz w:val="28"/>
          <w:szCs w:val="28"/>
        </w:rPr>
        <w:t>Подраздел 6.1. Объекты недвижимого имущества, находящиеся в пользовании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pPr>
        <w:pStyle w:val="ListParagraph"/>
        <w:ind w:left="0" w:firstLine="567"/>
        <w:rPr>
          <w:rFonts w:ascii="Times New Roman" w:hAnsi="Times New Roman"/>
          <w:sz w:val="28"/>
          <w:szCs w:val="28"/>
        </w:rPr>
      </w:pPr>
      <w:r>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pPr>
        <w:pStyle w:val="ListParagraph"/>
        <w:ind w:left="0" w:firstLine="567"/>
        <w:rPr>
          <w:rFonts w:ascii="Times New Roman" w:hAnsi="Times New Roman"/>
          <w:sz w:val="28"/>
          <w:szCs w:val="28"/>
        </w:rPr>
      </w:pPr>
      <w:r>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pPr>
        <w:pStyle w:val="ListParagraph"/>
        <w:numPr>
          <w:ilvl w:val="0"/>
          <w:numId w:val="7"/>
        </w:numPr>
        <w:ind w:left="142" w:firstLine="425"/>
        <w:rPr>
          <w:rFonts w:ascii="Times New Roman" w:hAnsi="Times New Roman"/>
          <w:sz w:val="28"/>
          <w:szCs w:val="28"/>
        </w:rPr>
      </w:pPr>
      <w:r>
        <w:rPr>
          <w:rFonts w:ascii="Times New Roman" w:hAnsi="Times New Roman"/>
          <w:sz w:val="28"/>
          <w:szCs w:val="28"/>
        </w:rPr>
        <w:t xml:space="preserve">отсутствует фактическое пользование этим объектом супругом; </w:t>
      </w:r>
    </w:p>
    <w:p>
      <w:pPr>
        <w:pStyle w:val="ListParagraph"/>
        <w:numPr>
          <w:ilvl w:val="0"/>
          <w:numId w:val="7"/>
        </w:numPr>
        <w:ind w:left="142" w:firstLine="425"/>
        <w:rPr>
          <w:rFonts w:ascii="Times New Roman" w:hAnsi="Times New Roman"/>
          <w:sz w:val="28"/>
          <w:szCs w:val="28"/>
        </w:rPr>
      </w:pPr>
      <w:r>
        <w:rPr>
          <w:rFonts w:ascii="Times New Roman" w:hAnsi="Times New Roman"/>
          <w:sz w:val="28"/>
          <w:szCs w:val="28"/>
        </w:rPr>
        <w:t xml:space="preserve">эти объекты указаны в подразделе 3.1 раздела 3 соответствующей справки. </w:t>
      </w:r>
    </w:p>
    <w:p>
      <w:pPr>
        <w:pStyle w:val="ListParagraph"/>
        <w:ind w:left="567" w:hanging="0"/>
        <w:rPr>
          <w:rFonts w:ascii="Times New Roman" w:hAnsi="Times New Roman"/>
          <w:sz w:val="28"/>
          <w:szCs w:val="28"/>
        </w:rPr>
      </w:pPr>
      <w:r>
        <w:rPr>
          <w:rFonts w:ascii="Times New Roman" w:hAnsi="Times New Roman"/>
          <w:sz w:val="28"/>
          <w:szCs w:val="28"/>
        </w:rPr>
        <w:t>Аналогично в отношении несовершеннолетних детей.</w:t>
      </w:r>
    </w:p>
    <w:p>
      <w:pPr>
        <w:pStyle w:val="ListParagraph"/>
        <w:ind w:left="0" w:firstLine="567"/>
        <w:rPr>
          <w:rFonts w:ascii="Times New Roman" w:hAnsi="Times New Roman"/>
          <w:sz w:val="28"/>
          <w:szCs w:val="28"/>
        </w:rPr>
      </w:pPr>
      <w:r>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pPr>
        <w:pStyle w:val="Normal"/>
        <w:ind w:firstLine="567"/>
        <w:rPr>
          <w:rFonts w:ascii="Times New Roman" w:hAnsi="Times New Roman"/>
          <w:sz w:val="28"/>
          <w:szCs w:val="28"/>
        </w:rPr>
      </w:pPr>
      <w:r>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pPr>
        <w:pStyle w:val="Normal"/>
        <w:ind w:firstLine="567"/>
        <w:rPr>
          <w:rFonts w:ascii="Times New Roman" w:hAnsi="Times New Roman"/>
          <w:sz w:val="28"/>
          <w:szCs w:val="28"/>
        </w:rPr>
      </w:pPr>
      <w:r>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pPr>
        <w:pStyle w:val="Normal"/>
        <w:ind w:firstLine="567"/>
        <w:rPr>
          <w:rFonts w:ascii="Times New Roman" w:hAnsi="Times New Roman"/>
          <w:sz w:val="28"/>
          <w:szCs w:val="28"/>
        </w:rPr>
      </w:pPr>
      <w:r>
        <w:rPr>
          <w:rFonts w:ascii="Times New Roman" w:hAnsi="Times New Roman"/>
          <w:sz w:val="28"/>
          <w:szCs w:val="28"/>
        </w:rPr>
        <w:t>3) занимаемых по договору аренды (найма, поднайма);</w:t>
      </w:r>
    </w:p>
    <w:p>
      <w:pPr>
        <w:pStyle w:val="Normal"/>
        <w:ind w:firstLine="567"/>
        <w:rPr>
          <w:rFonts w:ascii="Times New Roman" w:hAnsi="Times New Roman"/>
          <w:sz w:val="28"/>
          <w:szCs w:val="28"/>
        </w:rPr>
      </w:pPr>
      <w:r>
        <w:rPr>
          <w:rFonts w:ascii="Times New Roman" w:hAnsi="Times New Roman"/>
          <w:sz w:val="28"/>
          <w:szCs w:val="28"/>
        </w:rPr>
        <w:t>4) занимаемых по договорам социального найма;</w:t>
      </w:r>
    </w:p>
    <w:p>
      <w:pPr>
        <w:pStyle w:val="Normal"/>
        <w:ind w:firstLine="567"/>
        <w:rPr>
          <w:rFonts w:ascii="Times New Roman" w:hAnsi="Times New Roman"/>
          <w:sz w:val="28"/>
          <w:szCs w:val="28"/>
        </w:rPr>
      </w:pPr>
      <w:r>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pPr>
        <w:pStyle w:val="Normal"/>
        <w:ind w:firstLine="567"/>
        <w:rPr>
          <w:rFonts w:ascii="Times New Roman" w:hAnsi="Times New Roman"/>
          <w:sz w:val="28"/>
          <w:szCs w:val="28"/>
        </w:rPr>
      </w:pPr>
      <w:r>
        <w:rPr>
          <w:rFonts w:ascii="Times New Roman" w:hAnsi="Times New Roman"/>
          <w:sz w:val="28"/>
          <w:szCs w:val="28"/>
        </w:rPr>
        <w:t>6) принадлежащих на праве пожизненного наследуемого владения земельным участком;</w:t>
      </w:r>
    </w:p>
    <w:p>
      <w:pPr>
        <w:pStyle w:val="Normal"/>
        <w:ind w:firstLine="567"/>
        <w:rPr>
          <w:rFonts w:ascii="Times New Roman" w:hAnsi="Times New Roman"/>
          <w:sz w:val="28"/>
          <w:szCs w:val="28"/>
        </w:rPr>
      </w:pPr>
      <w:r>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этом указывается общая площадь объекта недвижимого имущества, находящегося в пользовании.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"Вид имущества</w:t>
      </w:r>
      <w:r>
        <w:rPr>
          <w:rFonts w:ascii="Times New Roman" w:hAnsi="Times New Roman"/>
          <w:sz w:val="28"/>
          <w:szCs w:val="28"/>
        </w:rPr>
        <w:t>" указывается вид недвижимого имущества (земельный участок, жилой дом, дача, квартира, комната и др.).</w:t>
      </w:r>
    </w:p>
    <w:p>
      <w:pPr>
        <w:pStyle w:val="ListParagraph"/>
        <w:widowControl w:val="false"/>
        <w:numPr>
          <w:ilvl w:val="0"/>
          <w:numId w:val="1"/>
        </w:numPr>
        <w:ind w:left="0" w:firstLine="567"/>
        <w:rPr>
          <w:rFonts w:ascii="Times New Roman" w:hAnsi="Times New Roman"/>
          <w:sz w:val="28"/>
          <w:szCs w:val="28"/>
        </w:rPr>
      </w:pPr>
      <w:bookmarkStart w:id="6" w:name="Par626"/>
      <w:bookmarkEnd w:id="6"/>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Вид и сроки пользования</w:t>
      </w:r>
      <w:r>
        <w:rPr>
          <w:rFonts w:ascii="Times New Roman" w:hAnsi="Times New Roman"/>
          <w:b/>
          <w:sz w:val="28"/>
        </w:rPr>
        <w:t>"</w:t>
      </w:r>
      <w:r>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pPr>
        <w:pStyle w:val="ListParagraph"/>
        <w:numPr>
          <w:ilvl w:val="0"/>
          <w:numId w:val="1"/>
        </w:numPr>
        <w:ind w:left="0" w:firstLine="567"/>
        <w:rPr>
          <w:rFonts w:ascii="Times New Roman" w:hAnsi="Times New Roman"/>
          <w:sz w:val="28"/>
          <w:szCs w:val="28"/>
        </w:rPr>
      </w:pPr>
      <w:bookmarkStart w:id="7" w:name="Par627"/>
      <w:bookmarkEnd w:id="7"/>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Основание пользования</w:t>
      </w:r>
      <w:r>
        <w:rPr>
          <w:rFonts w:ascii="Times New Roman" w:hAnsi="Times New Roman"/>
          <w:b/>
          <w:sz w:val="28"/>
        </w:rPr>
        <w:t>"</w:t>
      </w:r>
      <w:r>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подразделе </w:t>
      </w:r>
      <w:r>
        <w:rPr>
          <w:rFonts w:ascii="Times New Roman" w:hAnsi="Times New Roman"/>
          <w:b/>
          <w:sz w:val="28"/>
          <w:szCs w:val="28"/>
        </w:rPr>
        <w:t>не указывается</w:t>
      </w:r>
      <w:r>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pPr>
        <w:pStyle w:val="ListParagraph"/>
        <w:ind w:left="0" w:firstLine="567"/>
        <w:rPr>
          <w:rFonts w:ascii="Times New Roman" w:hAnsi="Times New Roman"/>
          <w:sz w:val="28"/>
          <w:szCs w:val="28"/>
        </w:rPr>
      </w:pPr>
      <w:r>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pPr>
        <w:pStyle w:val="14"/>
        <w:numPr>
          <w:ilvl w:val="0"/>
          <w:numId w:val="1"/>
        </w:numPr>
        <w:shd w:val="clear" w:color="auto" w:fill="auto"/>
        <w:spacing w:lineRule="auto" w:line="240" w:before="0" w:after="0"/>
        <w:ind w:left="0" w:firstLine="567"/>
        <w:jc w:val="both"/>
        <w:rPr>
          <w:rFonts w:ascii="Times New Roman" w:hAnsi="Times New Roman"/>
        </w:rPr>
      </w:pPr>
      <w:r>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pPr>
        <w:pStyle w:val="14"/>
        <w:shd w:val="clear" w:color="auto" w:fill="auto"/>
        <w:spacing w:lineRule="auto" w:line="240" w:before="0" w:after="0"/>
        <w:ind w:firstLine="567"/>
        <w:jc w:val="both"/>
        <w:rPr>
          <w:rFonts w:ascii="Times New Roman" w:hAnsi="Times New Roman"/>
        </w:rPr>
      </w:pPr>
      <w:r>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pPr>
        <w:pStyle w:val="14"/>
        <w:shd w:val="clear" w:color="auto" w:fill="auto"/>
        <w:spacing w:lineRule="auto" w:line="240" w:before="0" w:after="0"/>
        <w:ind w:firstLine="567"/>
        <w:jc w:val="both"/>
        <w:rPr>
          <w:rFonts w:ascii="Times New Roman" w:hAnsi="Times New Roman"/>
        </w:rPr>
      </w:pPr>
      <w:r>
        <w:rPr>
          <w:rFonts w:ascii="Times New Roman" w:hAnsi="Times New Roman"/>
        </w:rPr>
        <w:t>Аналогично в отношении несовершеннолетних детей.</w:t>
      </w:r>
    </w:p>
    <w:p>
      <w:pPr>
        <w:pStyle w:val="14"/>
        <w:shd w:val="clear" w:color="auto" w:fill="auto"/>
        <w:spacing w:lineRule="auto" w:line="240" w:before="0" w:after="0"/>
        <w:ind w:firstLine="567"/>
        <w:jc w:val="both"/>
        <w:rPr>
          <w:rFonts w:ascii="Times New Roman" w:hAnsi="Times New Roman"/>
        </w:rPr>
      </w:pPr>
      <w:r>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pPr>
        <w:pStyle w:val="14"/>
        <w:shd w:val="clear" w:color="auto" w:fill="auto"/>
        <w:spacing w:lineRule="auto" w:line="240" w:before="0" w:after="0"/>
        <w:ind w:firstLine="567"/>
        <w:jc w:val="both"/>
        <w:rPr>
          <w:rFonts w:ascii="Times New Roman" w:hAnsi="Times New Roman"/>
        </w:rPr>
      </w:pPr>
      <w:r>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Графа </w:t>
      </w:r>
      <w:r>
        <w:rPr>
          <w:rFonts w:ascii="Times New Roman" w:hAnsi="Times New Roman"/>
          <w:b/>
          <w:sz w:val="28"/>
        </w:rPr>
        <w:t>"</w:t>
      </w:r>
      <w:r>
        <w:rPr>
          <w:rFonts w:ascii="Times New Roman" w:hAnsi="Times New Roman"/>
          <w:b/>
          <w:sz w:val="28"/>
          <w:szCs w:val="28"/>
        </w:rPr>
        <w:t>Площадь (кв. м)</w:t>
      </w:r>
      <w:r>
        <w:rPr>
          <w:rFonts w:ascii="Times New Roman" w:hAnsi="Times New Roman"/>
          <w:b/>
          <w:sz w:val="28"/>
        </w:rPr>
        <w:t>"</w:t>
      </w:r>
      <w:r>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pPr>
        <w:pStyle w:val="ListParagraph"/>
        <w:ind w:left="0" w:firstLine="567"/>
        <w:rPr>
          <w:rFonts w:ascii="Times New Roman" w:hAnsi="Times New Roman"/>
          <w:b/>
          <w:sz w:val="28"/>
          <w:szCs w:val="28"/>
        </w:rPr>
      </w:pPr>
      <w:r>
        <w:rPr>
          <w:rFonts w:ascii="Times New Roman" w:hAnsi="Times New Roman"/>
          <w:b/>
          <w:sz w:val="28"/>
          <w:szCs w:val="28"/>
        </w:rPr>
        <w:t>Подраздел 6.2. Срочные обязательства финансового характера</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подразделе указывается </w:t>
      </w:r>
      <w:r>
        <w:rPr>
          <w:rFonts w:ascii="Times New Roman" w:hAnsi="Times New Roman"/>
          <w:b/>
          <w:sz w:val="28"/>
          <w:szCs w:val="28"/>
        </w:rPr>
        <w:t>каждое</w:t>
      </w:r>
      <w:r>
        <w:rPr>
          <w:rFonts w:ascii="Times New Roman" w:hAnsi="Times New Roman"/>
          <w:sz w:val="28"/>
          <w:szCs w:val="28"/>
        </w:rPr>
        <w:t xml:space="preserve"> имеющееся на отчетную дату срочное обязательство финансового характера на сумму, </w:t>
      </w:r>
      <w:r>
        <w:rPr>
          <w:rFonts w:ascii="Times New Roman" w:hAnsi="Times New Roman"/>
          <w:b/>
          <w:sz w:val="28"/>
          <w:szCs w:val="28"/>
        </w:rPr>
        <w:t>равную или превышающую</w:t>
      </w:r>
      <w:r>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pPr>
        <w:pStyle w:val="ListParagraph"/>
        <w:ind w:left="0" w:firstLine="567"/>
        <w:rPr>
          <w:rFonts w:ascii="Times New Roman" w:hAnsi="Times New Roman"/>
          <w:sz w:val="28"/>
          <w:szCs w:val="28"/>
        </w:rPr>
      </w:pPr>
      <w:r>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pPr>
        <w:pStyle w:val="Normal"/>
        <w:ind w:firstLine="567"/>
        <w:rPr>
          <w:rFonts w:ascii="Times New Roman" w:hAnsi="Times New Roman"/>
          <w:sz w:val="28"/>
          <w:szCs w:val="28"/>
        </w:rPr>
      </w:pPr>
      <w:r>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pPr>
        <w:pStyle w:val="ListParagraph"/>
        <w:widowControl w:val="false"/>
        <w:numPr>
          <w:ilvl w:val="0"/>
          <w:numId w:val="1"/>
        </w:numPr>
        <w:ind w:left="0" w:firstLine="567"/>
        <w:rPr>
          <w:rFonts w:ascii="Times New Roman" w:hAnsi="Times New Roman"/>
          <w:sz w:val="28"/>
          <w:szCs w:val="28"/>
        </w:rPr>
      </w:pPr>
      <w:bookmarkStart w:id="8" w:name="Par629"/>
      <w:bookmarkEnd w:id="8"/>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Содержание обязательства</w:t>
      </w:r>
      <w:r>
        <w:rPr>
          <w:rFonts w:ascii="Times New Roman" w:hAnsi="Times New Roman"/>
          <w:b/>
          <w:sz w:val="28"/>
        </w:rPr>
        <w:t>"</w:t>
      </w:r>
      <w:r>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Кредитор (должник)</w:t>
      </w:r>
      <w:r>
        <w:rPr>
          <w:rFonts w:ascii="Times New Roman" w:hAnsi="Times New Roman"/>
          <w:b/>
          <w:sz w:val="28"/>
        </w:rPr>
        <w:t>"</w:t>
      </w:r>
      <w:r>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pPr>
        <w:pStyle w:val="ListParagraph"/>
        <w:widowControl w:val="false"/>
        <w:ind w:left="0" w:firstLine="567"/>
        <w:rPr>
          <w:rFonts w:ascii="Times New Roman" w:hAnsi="Times New Roman"/>
          <w:sz w:val="28"/>
          <w:szCs w:val="28"/>
        </w:rPr>
      </w:pPr>
      <w:r>
        <w:rPr>
          <w:rFonts w:ascii="Times New Roman" w:hAnsi="Times New Roman"/>
          <w:sz w:val="28"/>
          <w:szCs w:val="28"/>
        </w:rPr>
        <w:t xml:space="preserve">Например, </w:t>
      </w:r>
    </w:p>
    <w:p>
      <w:pPr>
        <w:pStyle w:val="Normal"/>
        <w:widowControl w:val="false"/>
        <w:ind w:firstLine="567"/>
        <w:rPr>
          <w:rFonts w:ascii="Times New Roman" w:hAnsi="Times New Roman"/>
          <w:sz w:val="28"/>
          <w:szCs w:val="28"/>
        </w:rPr>
      </w:pPr>
      <w:r>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Pr>
          <w:rFonts w:ascii="Times New Roman" w:hAnsi="Times New Roman"/>
          <w:b/>
          <w:sz w:val="28"/>
        </w:rPr>
        <w:t>"Кредитор (должник)"</w:t>
      </w:r>
      <w:r>
        <w:rPr>
          <w:rFonts w:ascii="Times New Roman" w:hAnsi="Times New Roman"/>
          <w:sz w:val="28"/>
          <w:szCs w:val="28"/>
        </w:rPr>
        <w:t xml:space="preserve"> указывается вторая сторона обязательства: кредитор ПАО Сбербанк;</w:t>
      </w:r>
    </w:p>
    <w:p>
      <w:pPr>
        <w:pStyle w:val="Normal"/>
        <w:ind w:firstLine="567"/>
        <w:rPr>
          <w:rFonts w:ascii="Times New Roman" w:hAnsi="Times New Roman"/>
          <w:sz w:val="28"/>
          <w:szCs w:val="28"/>
        </w:rPr>
      </w:pPr>
      <w:r>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Pr>
          <w:rFonts w:ascii="Times New Roman" w:hAnsi="Times New Roman"/>
          <w:b/>
          <w:sz w:val="28"/>
        </w:rPr>
        <w:t>"Кредитор (должник)"</w:t>
      </w:r>
      <w:r>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pPr>
        <w:pStyle w:val="ListParagraph"/>
        <w:widowControl w:val="false"/>
        <w:numPr>
          <w:ilvl w:val="0"/>
          <w:numId w:val="1"/>
        </w:numPr>
        <w:ind w:left="0" w:firstLine="567"/>
        <w:rPr>
          <w:rFonts w:ascii="Times New Roman" w:hAnsi="Times New Roman"/>
          <w:sz w:val="28"/>
          <w:szCs w:val="28"/>
        </w:rPr>
      </w:pPr>
      <w:bookmarkStart w:id="9" w:name="Par631"/>
      <w:bookmarkEnd w:id="9"/>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Основание возникновения</w:t>
      </w:r>
      <w:r>
        <w:rPr>
          <w:rFonts w:ascii="Times New Roman" w:hAnsi="Times New Roman"/>
          <w:b/>
          <w:sz w:val="28"/>
        </w:rPr>
        <w:t>"</w:t>
      </w:r>
      <w:r>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Сумма обязательства / размер обязательства по состоянию на отчетную дату</w:t>
      </w:r>
      <w:r>
        <w:rPr>
          <w:rFonts w:ascii="Times New Roman" w:hAnsi="Times New Roman"/>
          <w:b/>
          <w:sz w:val="28"/>
        </w:rPr>
        <w:t xml:space="preserve">" </w:t>
      </w:r>
      <w:r>
        <w:rPr>
          <w:rFonts w:ascii="Times New Roman" w:hAnsi="Times New Roman"/>
          <w:sz w:val="28"/>
          <w:szCs w:val="28"/>
        </w:rPr>
        <w:t xml:space="preserve">указываются: </w:t>
      </w:r>
    </w:p>
    <w:p>
      <w:pPr>
        <w:pStyle w:val="ListParagraph"/>
        <w:widowControl w:val="false"/>
        <w:ind w:left="0" w:firstLine="567"/>
        <w:rPr>
          <w:rFonts w:ascii="Times New Roman" w:hAnsi="Times New Roman"/>
          <w:sz w:val="28"/>
          <w:szCs w:val="28"/>
        </w:rPr>
      </w:pPr>
      <w:r>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pPr>
        <w:pStyle w:val="ListParagraph"/>
        <w:widowControl w:val="false"/>
        <w:ind w:left="0" w:firstLine="567"/>
        <w:rPr>
          <w:rFonts w:ascii="Times New Roman" w:hAnsi="Times New Roman"/>
          <w:sz w:val="28"/>
          <w:szCs w:val="28"/>
        </w:rPr>
      </w:pPr>
      <w:r>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pPr>
        <w:pStyle w:val="ListParagraph"/>
        <w:widowControl w:val="false"/>
        <w:ind w:left="0" w:firstLine="567"/>
        <w:rPr>
          <w:rFonts w:ascii="Times New Roman" w:hAnsi="Times New Roman"/>
          <w:sz w:val="28"/>
          <w:szCs w:val="28"/>
        </w:rPr>
      </w:pPr>
      <w:r>
        <w:rPr>
          <w:rFonts w:ascii="Times New Roman" w:hAnsi="Times New Roman"/>
          <w:sz w:val="28"/>
          <w:szCs w:val="28"/>
        </w:rPr>
        <w:t xml:space="preserve">Для обязательств, выраженных в иностранной валюте, сумма указывается в рублях по курсу Банка России на отчетную дату </w:t>
      </w:r>
      <w:r>
        <w:rPr>
          <w:rFonts w:eastAsia="Times New Roman" w:ascii="Times New Roman" w:hAnsi="Times New Roman"/>
          <w:sz w:val="28"/>
          <w:szCs w:val="28"/>
          <w:lang w:eastAsia="ru-RU"/>
        </w:rPr>
        <w:t>(с учетом положений пункта 54 настоящих Методических рекомендаций)</w:t>
      </w:r>
      <w:r>
        <w:rPr>
          <w:rFonts w:ascii="Times New Roman" w:hAnsi="Times New Roman"/>
          <w:sz w:val="28"/>
          <w:szCs w:val="28"/>
        </w:rPr>
        <w:t xml:space="preserve">. </w:t>
      </w:r>
    </w:p>
    <w:p>
      <w:pPr>
        <w:pStyle w:val="Normal"/>
        <w:widowControl w:val="false"/>
        <w:ind w:firstLine="567"/>
        <w:rPr>
          <w:rFonts w:ascii="Times New Roman" w:hAnsi="Times New Roman"/>
          <w:sz w:val="28"/>
          <w:szCs w:val="28"/>
        </w:rPr>
      </w:pPr>
      <w:r>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размещены на его официальном сайте: </w:t>
      </w:r>
      <w:hyperlink r:id="rId28" w:tgtFrame="https://www.cbr.ru/currency_base/daily/">
        <w:r>
          <w:rPr>
            <w:rStyle w:val="-"/>
            <w:rFonts w:ascii="Times New Roman" w:hAnsi="Times New Roman"/>
            <w:sz w:val="28"/>
            <w:szCs w:val="28"/>
          </w:rPr>
          <w:t>https://www.cbr.ru/currency_base/daily/</w:t>
        </w:r>
      </w:hyperlink>
      <w:r>
        <w:rPr>
          <w:rFonts w:ascii="Times New Roman" w:hAnsi="Times New Roman"/>
          <w:sz w:val="28"/>
          <w:szCs w:val="28"/>
        </w:rPr>
        <w:t>.</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pPr>
        <w:pStyle w:val="ListParagraph"/>
        <w:widowControl w:val="false"/>
        <w:numPr>
          <w:ilvl w:val="0"/>
          <w:numId w:val="1"/>
        </w:numPr>
        <w:ind w:left="0" w:firstLine="567"/>
        <w:rPr>
          <w:rFonts w:ascii="Times New Roman" w:hAnsi="Times New Roman"/>
          <w:sz w:val="28"/>
          <w:szCs w:val="28"/>
        </w:rPr>
      </w:pPr>
      <w:bookmarkStart w:id="10" w:name="Par633"/>
      <w:bookmarkEnd w:id="10"/>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Условия обязательства</w:t>
      </w:r>
      <w:r>
        <w:rPr>
          <w:rFonts w:ascii="Times New Roman" w:hAnsi="Times New Roman"/>
          <w:b/>
          <w:sz w:val="28"/>
        </w:rPr>
        <w:t>"</w:t>
      </w:r>
      <w:r>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Pr>
          <w:rFonts w:ascii="Times New Roman" w:hAnsi="Times New Roman"/>
          <w:color w:val="FF0000"/>
          <w:sz w:val="28"/>
          <w:szCs w:val="28"/>
        </w:rPr>
        <w:t xml:space="preserve"> </w:t>
      </w:r>
      <w:r>
        <w:rPr>
          <w:rFonts w:ascii="Times New Roman" w:hAnsi="Times New Roman"/>
          <w:sz w:val="28"/>
          <w:szCs w:val="28"/>
        </w:rPr>
        <w:t>обязательства гарантии и поручительства.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Помимо прочего подлежат указанию:</w:t>
      </w:r>
    </w:p>
    <w:p>
      <w:pPr>
        <w:pStyle w:val="Normal"/>
        <w:ind w:firstLine="567"/>
        <w:rPr>
          <w:rFonts w:ascii="Times New Roman" w:hAnsi="Times New Roman"/>
          <w:sz w:val="28"/>
          <w:szCs w:val="28"/>
        </w:rPr>
      </w:pPr>
      <w:r>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pPr>
        <w:pStyle w:val="Normal"/>
        <w:ind w:firstLine="567"/>
        <w:rPr>
          <w:rFonts w:ascii="Times New Roman" w:hAnsi="Times New Roman"/>
          <w:sz w:val="28"/>
          <w:szCs w:val="28"/>
        </w:rPr>
      </w:pPr>
      <w:r>
        <w:rPr>
          <w:rFonts w:ascii="Times New Roman" w:hAnsi="Times New Roman"/>
          <w:sz w:val="28"/>
          <w:szCs w:val="28"/>
        </w:rPr>
        <w:t>2) договор финансовой аренды (лизинг);</w:t>
      </w:r>
    </w:p>
    <w:p>
      <w:pPr>
        <w:pStyle w:val="Normal"/>
        <w:ind w:firstLine="567"/>
        <w:rPr>
          <w:rFonts w:ascii="Times New Roman" w:hAnsi="Times New Roman"/>
          <w:sz w:val="28"/>
          <w:szCs w:val="28"/>
        </w:rPr>
      </w:pPr>
      <w:r>
        <w:rPr>
          <w:rFonts w:ascii="Times New Roman" w:hAnsi="Times New Roman"/>
          <w:sz w:val="28"/>
          <w:szCs w:val="28"/>
        </w:rPr>
        <w:t>3) договор займа;</w:t>
      </w:r>
    </w:p>
    <w:p>
      <w:pPr>
        <w:pStyle w:val="ListParagraph"/>
        <w:ind w:left="0" w:firstLine="567"/>
        <w:rPr>
          <w:rFonts w:ascii="Times New Roman" w:hAnsi="Times New Roman"/>
          <w:sz w:val="28"/>
          <w:szCs w:val="28"/>
        </w:rPr>
      </w:pPr>
      <w:r>
        <w:rPr>
          <w:rFonts w:ascii="Times New Roman" w:hAnsi="Times New Roman"/>
          <w:sz w:val="28"/>
          <w:szCs w:val="28"/>
        </w:rPr>
        <w:t>4) договор финансирования под уступку денежного требования;</w:t>
      </w:r>
    </w:p>
    <w:p>
      <w:pPr>
        <w:pStyle w:val="ListParagraph"/>
        <w:ind w:left="0" w:firstLine="567"/>
        <w:rPr>
          <w:rFonts w:ascii="Times New Roman" w:hAnsi="Times New Roman"/>
          <w:sz w:val="28"/>
          <w:szCs w:val="28"/>
        </w:rPr>
      </w:pPr>
      <w:r>
        <w:rPr>
          <w:rFonts w:ascii="Times New Roman" w:hAnsi="Times New Roman"/>
          <w:sz w:val="28"/>
          <w:szCs w:val="28"/>
        </w:rPr>
        <w:t>5) обязательства, связанные с заключением договора об уступке права требования;</w:t>
      </w:r>
    </w:p>
    <w:p>
      <w:pPr>
        <w:pStyle w:val="Normal"/>
        <w:ind w:firstLine="567"/>
        <w:rPr>
          <w:rFonts w:ascii="Times New Roman" w:hAnsi="Times New Roman"/>
          <w:sz w:val="28"/>
          <w:szCs w:val="28"/>
        </w:rPr>
      </w:pPr>
      <w:r>
        <w:rPr>
          <w:rFonts w:ascii="Times New Roman" w:hAnsi="Times New Roman"/>
          <w:sz w:val="28"/>
          <w:szCs w:val="28"/>
        </w:rPr>
        <w:t>6) обязательства вследствие причинения вреда (финансовые);</w:t>
      </w:r>
    </w:p>
    <w:p>
      <w:pPr>
        <w:pStyle w:val="Normal"/>
        <w:ind w:firstLine="567"/>
        <w:rPr>
          <w:rFonts w:ascii="Times New Roman" w:hAnsi="Times New Roman"/>
          <w:sz w:val="28"/>
          <w:szCs w:val="28"/>
        </w:rPr>
      </w:pPr>
      <w:r>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pPr>
        <w:pStyle w:val="Normal"/>
        <w:ind w:firstLine="567"/>
        <w:rPr>
          <w:rFonts w:ascii="Times New Roman" w:hAnsi="Times New Roman"/>
          <w:sz w:val="28"/>
          <w:szCs w:val="28"/>
        </w:rPr>
      </w:pPr>
      <w:r>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pPr>
        <w:pStyle w:val="Normal"/>
        <w:ind w:firstLine="567"/>
        <w:rPr>
          <w:rFonts w:ascii="Times New Roman" w:hAnsi="Times New Roman"/>
          <w:sz w:val="28"/>
          <w:szCs w:val="28"/>
        </w:rPr>
      </w:pPr>
      <w:r>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pPr>
        <w:pStyle w:val="Normal"/>
        <w:ind w:firstLine="567"/>
        <w:rPr>
          <w:rFonts w:ascii="Times New Roman" w:hAnsi="Times New Roman"/>
          <w:sz w:val="28"/>
          <w:szCs w:val="28"/>
        </w:rPr>
      </w:pPr>
      <w:r>
        <w:rPr>
          <w:rFonts w:ascii="Times New Roman" w:hAnsi="Times New Roman"/>
          <w:sz w:val="28"/>
          <w:szCs w:val="28"/>
        </w:rPr>
        <w:t>10) выкупленная дебиторская задолженность;</w:t>
      </w:r>
    </w:p>
    <w:p>
      <w:pPr>
        <w:pStyle w:val="Normal"/>
        <w:ind w:firstLine="567"/>
        <w:rPr>
          <w:rFonts w:ascii="Times New Roman" w:hAnsi="Times New Roman"/>
          <w:sz w:val="28"/>
          <w:szCs w:val="28"/>
        </w:rPr>
      </w:pPr>
      <w:r>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pPr>
        <w:pStyle w:val="Normal"/>
        <w:ind w:firstLine="567"/>
        <w:rPr>
          <w:rFonts w:ascii="Times New Roman" w:hAnsi="Times New Roman"/>
          <w:sz w:val="28"/>
          <w:szCs w:val="28"/>
        </w:rPr>
      </w:pPr>
      <w:r>
        <w:rPr>
          <w:rFonts w:ascii="Times New Roman" w:hAnsi="Times New Roman"/>
          <w:sz w:val="28"/>
          <w:szCs w:val="28"/>
        </w:rPr>
        <w:t>12) предоставленные брокером займы (т.н. "маржинальные сделки");</w:t>
      </w:r>
    </w:p>
    <w:p>
      <w:pPr>
        <w:pStyle w:val="Normal"/>
        <w:ind w:firstLine="567"/>
        <w:rPr>
          <w:rFonts w:ascii="Times New Roman" w:hAnsi="Times New Roman"/>
          <w:sz w:val="28"/>
          <w:szCs w:val="28"/>
        </w:rPr>
      </w:pPr>
      <w:r>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pPr>
        <w:pStyle w:val="Normal"/>
        <w:ind w:firstLine="567"/>
        <w:rPr>
          <w:rFonts w:ascii="Times New Roman" w:hAnsi="Times New Roman"/>
          <w:sz w:val="28"/>
          <w:szCs w:val="28"/>
        </w:rPr>
      </w:pPr>
      <w:r>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pPr>
        <w:pStyle w:val="Normal"/>
        <w:ind w:firstLine="567"/>
        <w:rPr>
          <w:rFonts w:ascii="Times New Roman" w:hAnsi="Times New Roman"/>
          <w:sz w:val="28"/>
          <w:szCs w:val="28"/>
        </w:rPr>
      </w:pPr>
      <w:r>
        <w:rPr>
          <w:rFonts w:ascii="Times New Roman" w:hAnsi="Times New Roman"/>
          <w:sz w:val="28"/>
          <w:szCs w:val="28"/>
        </w:rPr>
        <w:t>14) фьючерсный договор;</w:t>
      </w:r>
    </w:p>
    <w:p>
      <w:pPr>
        <w:pStyle w:val="Normal"/>
        <w:ind w:firstLine="567"/>
        <w:rPr>
          <w:rFonts w:ascii="Times New Roman" w:hAnsi="Times New Roman"/>
          <w:sz w:val="28"/>
          <w:szCs w:val="28"/>
        </w:rPr>
      </w:pPr>
      <w:r>
        <w:rPr>
          <w:rFonts w:ascii="Times New Roman" w:hAnsi="Times New Roman"/>
          <w:sz w:val="28"/>
          <w:szCs w:val="28"/>
        </w:rPr>
        <w:t>15) иные обязательства, в том числе установленные решением суда.</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b/>
          <w:sz w:val="28"/>
          <w:szCs w:val="28"/>
        </w:rPr>
        <w:t>Отдельные виды срочных обязательств финансового характера</w:t>
      </w:r>
      <w:r>
        <w:rPr>
          <w:rFonts w:ascii="Times New Roman" w:hAnsi="Times New Roman"/>
          <w:sz w:val="28"/>
          <w:szCs w:val="28"/>
        </w:rPr>
        <w:t>:</w:t>
      </w:r>
    </w:p>
    <w:p>
      <w:pPr>
        <w:pStyle w:val="ListParagraph"/>
        <w:widowControl w:val="false"/>
        <w:ind w:left="0" w:firstLine="567"/>
        <w:rPr>
          <w:rFonts w:ascii="Times New Roman" w:hAnsi="Times New Roman"/>
          <w:sz w:val="28"/>
          <w:szCs w:val="28"/>
        </w:rPr>
      </w:pPr>
      <w:r>
        <w:rPr>
          <w:rFonts w:ascii="Times New Roman" w:hAnsi="Times New Roman"/>
          <w:b/>
          <w:sz w:val="28"/>
          <w:szCs w:val="28"/>
        </w:rPr>
        <w:t xml:space="preserve">1) участие в долевом строительстве объекта недвижимости. </w:t>
      </w:r>
      <w:r>
        <w:rPr>
          <w:rFonts w:ascii="Times New Roman" w:hAnsi="Times New Roman"/>
          <w:sz w:val="28"/>
          <w:szCs w:val="28"/>
        </w:rPr>
        <w:t>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pPr>
        <w:pStyle w:val="Normal"/>
        <w:ind w:firstLine="567"/>
        <w:rPr>
          <w:rFonts w:ascii="Times New Roman" w:hAnsi="Times New Roman"/>
          <w:sz w:val="28"/>
          <w:szCs w:val="28"/>
        </w:rPr>
      </w:pPr>
      <w:r>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Pr>
          <w:rFonts w:ascii="Times New Roman" w:hAnsi="Times New Roman"/>
          <w:b/>
          <w:sz w:val="28"/>
          <w:szCs w:val="28"/>
        </w:rPr>
        <w:t>"Кредитор (должник)"</w:t>
      </w:r>
      <w:r>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Pr>
          <w:rFonts w:ascii="Times New Roman" w:hAnsi="Times New Roman"/>
          <w:b/>
          <w:sz w:val="28"/>
        </w:rPr>
        <w:t xml:space="preserve">"Условие обязательства" </w:t>
      </w:r>
      <w:r>
        <w:rPr>
          <w:rFonts w:ascii="Times New Roman" w:hAnsi="Times New Roman"/>
          <w:sz w:val="28"/>
          <w:szCs w:val="28"/>
        </w:rPr>
        <w:t xml:space="preserve">можно отразить, что денежные средства переданы застройщику в полном объеме. В графе </w:t>
      </w:r>
      <w:r>
        <w:rPr>
          <w:rFonts w:ascii="Times New Roman" w:hAnsi="Times New Roman"/>
          <w:b/>
          <w:sz w:val="28"/>
          <w:szCs w:val="28"/>
        </w:rPr>
        <w:t>"Сумма обязательства/размер обязательства по состоянию на отчетную дату (руб.)"</w:t>
      </w:r>
      <w:r>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pPr>
        <w:pStyle w:val="Normal"/>
        <w:ind w:firstLine="567"/>
        <w:rPr>
          <w:rFonts w:ascii="Times New Roman" w:hAnsi="Times New Roman"/>
          <w:sz w:val="28"/>
          <w:szCs w:val="28"/>
        </w:rPr>
      </w:pPr>
      <w:r>
        <w:rPr>
          <w:rFonts w:ascii="Times New Roman" w:hAnsi="Times New Roman"/>
          <w:sz w:val="28"/>
          <w:szCs w:val="28"/>
        </w:rPr>
        <w:t>Данный порядок применяется также в случае использования счетов эскроу.</w:t>
      </w:r>
    </w:p>
    <w:p>
      <w:pPr>
        <w:pStyle w:val="ListParagraph"/>
        <w:tabs>
          <w:tab w:val="clear" w:pos="709"/>
          <w:tab w:val="left" w:pos="0" w:leader="none"/>
          <w:tab w:val="left" w:pos="1418" w:leader="none"/>
        </w:tabs>
        <w:ind w:left="0" w:firstLine="567"/>
        <w:rPr>
          <w:rFonts w:ascii="Times New Roman" w:hAnsi="Times New Roman"/>
          <w:sz w:val="28"/>
          <w:szCs w:val="28"/>
        </w:rPr>
      </w:pPr>
      <w:r>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указывается полная стоимость.</w:t>
      </w:r>
    </w:p>
    <w:p>
      <w:pPr>
        <w:pStyle w:val="ListParagraph"/>
        <w:tabs>
          <w:tab w:val="clear" w:pos="709"/>
          <w:tab w:val="left" w:pos="0" w:leader="none"/>
          <w:tab w:val="left" w:pos="1418" w:leader="none"/>
        </w:tabs>
        <w:ind w:left="0" w:firstLine="567"/>
        <w:rPr>
          <w:rFonts w:ascii="Times New Roman" w:hAnsi="Times New Roman"/>
          <w:sz w:val="28"/>
          <w:szCs w:val="28"/>
        </w:rPr>
      </w:pPr>
      <w:r>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pPr>
        <w:pStyle w:val="Normal"/>
        <w:ind w:firstLine="567"/>
        <w:rPr>
          <w:rFonts w:ascii="Times New Roman" w:hAnsi="Times New Roman"/>
          <w:sz w:val="28"/>
          <w:szCs w:val="28"/>
        </w:rPr>
      </w:pPr>
      <w:r>
        <w:rPr>
          <w:rFonts w:ascii="Times New Roman" w:hAnsi="Times New Roman"/>
          <w:b/>
          <w:sz w:val="28"/>
          <w:szCs w:val="28"/>
        </w:rPr>
        <w:t>2) обязательства по ипотеке в случае разделения суммы кредита между супругами.</w:t>
      </w:r>
      <w:r>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pPr>
        <w:pStyle w:val="ListParagraph"/>
        <w:ind w:left="0" w:firstLine="567"/>
        <w:rPr>
          <w:rFonts w:ascii="Times New Roman" w:hAnsi="Times New Roman"/>
          <w:sz w:val="28"/>
          <w:szCs w:val="28"/>
        </w:rPr>
      </w:pPr>
      <w:r>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Pr>
          <w:rFonts w:ascii="Times New Roman" w:hAnsi="Times New Roman"/>
          <w:b/>
          <w:sz w:val="28"/>
          <w:szCs w:val="28"/>
        </w:rPr>
        <w:t>"Сумма обязательства/размер обязательства по состоянию на отчетную дату (руб.)"</w:t>
      </w:r>
      <w:r>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Pr>
          <w:rFonts w:ascii="Times New Roman" w:hAnsi="Times New Roman"/>
          <w:b/>
          <w:sz w:val="28"/>
          <w:szCs w:val="28"/>
        </w:rPr>
        <w:t>"Условие обязательства"</w:t>
      </w:r>
      <w:r>
        <w:rPr>
          <w:rFonts w:ascii="Times New Roman" w:hAnsi="Times New Roman"/>
          <w:sz w:val="28"/>
          <w:szCs w:val="28"/>
        </w:rPr>
        <w:t xml:space="preserve"> названного подраздела указать созаемщиков. </w:t>
      </w:r>
    </w:p>
    <w:p>
      <w:pPr>
        <w:pStyle w:val="Normal"/>
        <w:ind w:firstLine="567"/>
        <w:rPr>
          <w:rFonts w:ascii="Times New Roman" w:hAnsi="Times New Roman"/>
          <w:sz w:val="28"/>
          <w:szCs w:val="28"/>
        </w:rPr>
      </w:pPr>
      <w:r>
        <w:rPr>
          <w:rFonts w:ascii="Times New Roman" w:hAnsi="Times New Roman"/>
          <w:b/>
          <w:sz w:val="28"/>
          <w:szCs w:val="28"/>
        </w:rPr>
        <w:t>3) обязательства в соответствии с Законом Российской Федерации от 27 ноября 1992 г. № 4015-</w:t>
      </w:r>
      <w:r>
        <w:rPr>
          <w:rFonts w:ascii="Times New Roman" w:hAnsi="Times New Roman"/>
          <w:b/>
          <w:sz w:val="28"/>
          <w:szCs w:val="28"/>
          <w:lang w:val="en-US"/>
        </w:rPr>
        <w:t>I</w:t>
      </w:r>
      <w:r>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pPr>
        <w:pStyle w:val="Normal"/>
        <w:ind w:firstLine="567"/>
        <w:rPr>
          <w:rFonts w:ascii="Times New Roman" w:hAnsi="Times New Roman"/>
          <w:sz w:val="28"/>
          <w:szCs w:val="28"/>
        </w:rPr>
      </w:pPr>
      <w:r>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pPr>
        <w:pStyle w:val="Normal"/>
        <w:ind w:firstLine="567"/>
        <w:rPr>
          <w:rFonts w:ascii="Times New Roman" w:hAnsi="Times New Roman"/>
          <w:sz w:val="28"/>
          <w:szCs w:val="28"/>
        </w:rPr>
      </w:pPr>
      <w:r>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pPr>
        <w:pStyle w:val="Normal"/>
        <w:ind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"Содержание обязательства"</w:t>
      </w:r>
      <w:r>
        <w:rPr>
          <w:rFonts w:ascii="Times New Roman" w:hAnsi="Times New Roman"/>
          <w:sz w:val="28"/>
          <w:szCs w:val="28"/>
        </w:rPr>
        <w:t xml:space="preserve"> указывается вид страхования, в графе </w:t>
      </w:r>
      <w:r>
        <w:rPr>
          <w:rFonts w:ascii="Times New Roman" w:hAnsi="Times New Roman"/>
          <w:b/>
          <w:sz w:val="28"/>
        </w:rPr>
        <w:t>"Кредитор (должник)"</w:t>
      </w:r>
      <w:r>
        <w:rPr>
          <w:rFonts w:ascii="Times New Roman" w:hAnsi="Times New Roman"/>
          <w:sz w:val="28"/>
          <w:szCs w:val="28"/>
        </w:rPr>
        <w:t xml:space="preserve">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w:t>
      </w:r>
      <w:r>
        <w:rPr>
          <w:rFonts w:ascii="Times New Roman" w:hAnsi="Times New Roman"/>
          <w:b/>
          <w:sz w:val="28"/>
        </w:rPr>
        <w:t>"Сумма обязательства"</w:t>
      </w:r>
      <w:r>
        <w:rPr>
          <w:rFonts w:ascii="Times New Roman" w:hAnsi="Times New Roman"/>
          <w:sz w:val="28"/>
          <w:szCs w:val="28"/>
        </w:rPr>
        <w:t xml:space="preserve"> указывается страховая премия по договору. В графе </w:t>
      </w:r>
      <w:r>
        <w:rPr>
          <w:rFonts w:ascii="Times New Roman" w:hAnsi="Times New Roman"/>
          <w:b/>
          <w:sz w:val="28"/>
        </w:rPr>
        <w:t>"Условия обязательства"</w:t>
      </w:r>
      <w:r>
        <w:rPr>
          <w:rFonts w:ascii="Times New Roman" w:hAnsi="Times New Roman"/>
          <w:sz w:val="28"/>
          <w:szCs w:val="28"/>
        </w:rPr>
        <w:t xml:space="preserve"> могут быть указаны сроки окончания договора страхования.</w:t>
      </w:r>
    </w:p>
    <w:p>
      <w:pPr>
        <w:pStyle w:val="Normal"/>
        <w:ind w:firstLine="567"/>
        <w:rPr>
          <w:rFonts w:ascii="Times New Roman" w:hAnsi="Times New Roman"/>
          <w:sz w:val="28"/>
          <w:szCs w:val="28"/>
        </w:rPr>
      </w:pPr>
      <w:r>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pPr>
        <w:pStyle w:val="Normal"/>
        <w:ind w:firstLine="567"/>
        <w:rPr>
          <w:rFonts w:ascii="Times New Roman" w:hAnsi="Times New Roman"/>
          <w:sz w:val="28"/>
          <w:szCs w:val="28"/>
        </w:rPr>
      </w:pPr>
      <w:r>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pPr>
        <w:pStyle w:val="Normal"/>
        <w:ind w:firstLine="567"/>
        <w:rPr>
          <w:rFonts w:ascii="Times New Roman" w:hAnsi="Times New Roman"/>
          <w:sz w:val="28"/>
          <w:szCs w:val="28"/>
        </w:rPr>
      </w:pPr>
      <w:r>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Pr>
          <w:rFonts w:ascii="Times New Roman" w:hAnsi="Times New Roman"/>
          <w:sz w:val="28"/>
          <w:szCs w:val="28"/>
          <w:lang w:val="en-US"/>
        </w:rPr>
        <w:t>I</w:t>
      </w:r>
      <w:r>
        <w:rPr>
          <w:rFonts w:ascii="Times New Roman" w:hAnsi="Times New Roman"/>
          <w:sz w:val="28"/>
          <w:szCs w:val="28"/>
        </w:rPr>
        <w:t xml:space="preserve"> "Об организации страхового дела в Российской Федерации". </w:t>
      </w:r>
    </w:p>
    <w:p>
      <w:pPr>
        <w:pStyle w:val="Normal"/>
        <w:ind w:firstLine="567"/>
        <w:rPr>
          <w:rFonts w:ascii="Times New Roman" w:hAnsi="Times New Roman"/>
          <w:sz w:val="28"/>
          <w:szCs w:val="28"/>
        </w:rPr>
      </w:pPr>
      <w:r>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pPr>
        <w:pStyle w:val="Normal"/>
        <w:ind w:firstLine="567"/>
        <w:rPr>
          <w:rFonts w:ascii="Times New Roman" w:hAnsi="Times New Roman"/>
          <w:sz w:val="28"/>
          <w:szCs w:val="28"/>
        </w:rPr>
      </w:pPr>
      <w:r>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w:t>
      </w:r>
      <w:r>
        <w:rPr>
          <w:rFonts w:eastAsia="Times New Roman" w:ascii="Times New Roman" w:hAnsi="Times New Roman"/>
          <w:sz w:val="28"/>
          <w:szCs w:val="28"/>
          <w:lang w:eastAsia="ru-RU"/>
        </w:rPr>
        <w:t>(с учетом положений пункта 54 настоящих Методических рекомендаций)</w:t>
      </w:r>
      <w:r>
        <w:rPr>
          <w:rFonts w:ascii="Times New Roman" w:hAnsi="Times New Roman"/>
          <w:sz w:val="28"/>
          <w:szCs w:val="28"/>
        </w:rPr>
        <w:t>.</w:t>
      </w:r>
    </w:p>
    <w:p>
      <w:pPr>
        <w:pStyle w:val="Normal"/>
        <w:ind w:hanging="0"/>
        <w:jc w:val="left"/>
        <w:rPr>
          <w:rFonts w:ascii="Times New Roman" w:hAnsi="Times New Roman"/>
          <w:sz w:val="28"/>
          <w:szCs w:val="28"/>
        </w:rPr>
      </w:pPr>
      <w:r>
        <w:rPr>
          <w:rFonts w:ascii="Times New Roman" w:hAnsi="Times New Roman"/>
          <w:sz w:val="28"/>
          <w:szCs w:val="28"/>
        </w:rPr>
      </w:r>
    </w:p>
    <w:p>
      <w:pPr>
        <w:pStyle w:val="Normal"/>
        <w:ind w:hanging="0"/>
        <w:jc w:val="center"/>
        <w:rPr>
          <w:rFonts w:ascii="Times New Roman" w:hAnsi="Times New Roman"/>
          <w:b/>
          <w:sz w:val="28"/>
          <w:szCs w:val="28"/>
        </w:rPr>
      </w:pPr>
      <w:r>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pPr>
        <w:pStyle w:val="Normal"/>
        <w:ind w:firstLine="851"/>
        <w:jc w:val="center"/>
        <w:rPr>
          <w:rFonts w:ascii="Times New Roman" w:hAnsi="Times New Roman"/>
          <w:sz w:val="28"/>
          <w:szCs w:val="28"/>
        </w:rPr>
      </w:pPr>
      <w:r>
        <w:rPr>
          <w:rFonts w:ascii="Times New Roman" w:hAnsi="Times New Roman"/>
          <w:sz w:val="28"/>
          <w:szCs w:val="28"/>
        </w:rPr>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pPr>
        <w:pStyle w:val="ListParagraph"/>
        <w:widowControl w:val="false"/>
        <w:ind w:left="0" w:firstLine="567"/>
        <w:rPr>
          <w:rFonts w:ascii="Times New Roman" w:hAnsi="Times New Roman"/>
          <w:sz w:val="28"/>
          <w:szCs w:val="28"/>
        </w:rPr>
      </w:pPr>
      <w:r>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Уничтоженные объекты имущества не подлежат отражению в данном разделе справки.</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Договор мены не подлежит отражению в данном разделе справки, так как он является возмездным.</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Каждый объект безвозмездной сделки указывается отдельно.</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строках </w:t>
      </w:r>
      <w:r>
        <w:rPr>
          <w:rFonts w:ascii="Times New Roman" w:hAnsi="Times New Roman"/>
          <w:b/>
          <w:sz w:val="28"/>
        </w:rPr>
        <w:t>"Земельные участки"</w:t>
      </w:r>
      <w:r>
        <w:rPr>
          <w:rFonts w:ascii="Times New Roman" w:hAnsi="Times New Roman"/>
          <w:sz w:val="28"/>
          <w:szCs w:val="28"/>
        </w:rPr>
        <w:t xml:space="preserve"> и </w:t>
      </w:r>
      <w:r>
        <w:rPr>
          <w:rFonts w:ascii="Times New Roman" w:hAnsi="Times New Roman"/>
          <w:b/>
          <w:sz w:val="28"/>
        </w:rPr>
        <w:t>"Иное недвижимое имущество"</w:t>
      </w:r>
      <w:r>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108 настоящих Методических рекомендаций), местонахождение (адрес) в соответствии с пунктами 116 и 117 настоящих Методических рекомендаций, площадь (кв. м) в соответствии с пунктом 118 настоящих Методических рекомендаций.</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"Транспортные средства"</w:t>
      </w:r>
      <w:r>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"Ценные бумаги"</w:t>
      </w:r>
      <w:r>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w:t>
      </w:r>
      <w:r>
        <w:rPr>
          <w:rFonts w:eastAsia="Times New Roman" w:ascii="Times New Roman" w:hAnsi="Times New Roman"/>
          <w:sz w:val="28"/>
          <w:szCs w:val="28"/>
          <w:lang w:eastAsia="ru-RU"/>
        </w:rPr>
        <w:t>(с учетом положений пункта 54 настоящих Методических рекомендаций)</w:t>
      </w:r>
      <w:r>
        <w:rPr>
          <w:rFonts w:ascii="Times New Roman" w:hAnsi="Times New Roman"/>
          <w:sz w:val="28"/>
          <w:szCs w:val="28"/>
        </w:rPr>
        <w:t xml:space="preserve">. </w:t>
      </w:r>
    </w:p>
    <w:p>
      <w:pPr>
        <w:pStyle w:val="ListParagraph"/>
        <w:widowControl w:val="false"/>
        <w:ind w:left="0" w:firstLine="567"/>
        <w:rPr>
          <w:rFonts w:ascii="Times New Roman" w:hAnsi="Times New Roman"/>
          <w:sz w:val="28"/>
          <w:szCs w:val="28"/>
        </w:rPr>
      </w:pPr>
      <w:r>
        <w:rPr>
          <w:rFonts w:ascii="Times New Roman" w:hAnsi="Times New Roman"/>
          <w:sz w:val="28"/>
          <w:szCs w:val="28"/>
        </w:rPr>
        <w:t>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пунктом 179 настоящих Методических рекомендаций, местонахождение организации (адрес) в соответствии с пунктом 180 настоящих Методических рекомендаций, уставный капитал в соответствии с пунктом 181 настоящих Методических рекомендаций, доли участия в соответствии с пунктом 182 настоящих Методических рекомендаций.</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"Цифровые финансовые активы"</w:t>
      </w:r>
      <w:r>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"Цифровые права, включающие одновременно цифровые финансовые активы и иные цифровые права"</w:t>
      </w:r>
      <w:r>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"Утилитарные цифровые права"</w:t>
      </w:r>
      <w:r>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"Цифровая валюта"</w:t>
      </w:r>
      <w:r>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bCs/>
          <w:sz w:val="28"/>
          <w:szCs w:val="28"/>
        </w:rPr>
        <w:t xml:space="preserve">В графе </w:t>
      </w:r>
      <w:r>
        <w:rPr>
          <w:rFonts w:ascii="Times New Roman" w:hAnsi="Times New Roman"/>
          <w:b/>
          <w:sz w:val="28"/>
        </w:rPr>
        <w:t>"Приобретатель имущества</w:t>
      </w:r>
      <w:r>
        <w:rPr>
          <w:rFonts w:ascii="Times New Roman" w:hAnsi="Times New Roman"/>
          <w:b/>
          <w:bCs/>
          <w:sz w:val="28"/>
          <w:szCs w:val="28"/>
        </w:rPr>
        <w:t xml:space="preserve"> (права)</w:t>
      </w:r>
      <w:r>
        <w:rPr>
          <w:rFonts w:ascii="Times New Roman" w:hAnsi="Times New Roman"/>
          <w:b/>
          <w:sz w:val="28"/>
        </w:rPr>
        <w:t xml:space="preserve"> по сделке"</w:t>
      </w:r>
      <w:r>
        <w:rPr>
          <w:rFonts w:ascii="Times New Roman" w:hAnsi="Times New Roman"/>
          <w:bCs/>
          <w:sz w:val="28"/>
          <w:szCs w:val="28"/>
        </w:rPr>
        <w:t xml:space="preserve"> в случае безвозмездной сделки с физическим лицом указываются </w:t>
      </w:r>
      <w:r>
        <w:rPr>
          <w:rFonts w:ascii="Times New Roman" w:hAnsi="Times New Roman"/>
          <w:sz w:val="28"/>
          <w:szCs w:val="28"/>
        </w:rPr>
        <w:t>его</w:t>
      </w:r>
      <w:r>
        <w:rPr>
          <w:rFonts w:ascii="Times New Roman" w:hAnsi="Times New Roman"/>
          <w:bCs/>
          <w:sz w:val="28"/>
          <w:szCs w:val="28"/>
        </w:rPr>
        <w:t xml:space="preserve"> </w:t>
      </w:r>
      <w:r>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Pr>
          <w:rStyle w:val="Style13"/>
          <w:rFonts w:cs="Times New Roman" w:ascii="Times New Roman" w:hAnsi="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pPr>
        <w:pStyle w:val="ListParagraph"/>
        <w:widowControl w:val="false"/>
        <w:ind w:left="0"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В случае безвозмездной сделки с юридическим лицом в данной графе указываются н</w:t>
      </w:r>
      <w:r>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pPr>
        <w:pStyle w:val="ListParagraph"/>
        <w:widowControl w:val="false"/>
        <w:numPr>
          <w:ilvl w:val="0"/>
          <w:numId w:val="1"/>
        </w:numPr>
        <w:ind w:left="0" w:firstLine="567"/>
        <w:rPr>
          <w:rStyle w:val="Style13"/>
          <w:rFonts w:ascii="Times New Roman" w:hAnsi="Times New Roman" w:cs="Times New Roman"/>
          <w:b/>
          <w:sz w:val="28"/>
          <w:szCs w:val="28"/>
          <w:shd w:fill="auto" w:val="clear"/>
        </w:rPr>
      </w:pPr>
      <w:r>
        <w:rPr>
          <w:rStyle w:val="Style13"/>
          <w:rFonts w:cs="Times New Roman" w:ascii="Times New Roman" w:hAnsi="Times New Roman"/>
          <w:sz w:val="28"/>
          <w:szCs w:val="28"/>
          <w:shd w:fill="auto" w:val="clear"/>
        </w:rPr>
        <w:t xml:space="preserve">В графе </w:t>
      </w:r>
      <w:r>
        <w:rPr>
          <w:rStyle w:val="Style13"/>
          <w:rFonts w:ascii="Times New Roman" w:hAnsi="Times New Roman"/>
          <w:b/>
          <w:sz w:val="28"/>
          <w:shd w:fill="auto" w:val="clear"/>
        </w:rPr>
        <w:t>"Основание отчуждения имущества</w:t>
      </w:r>
      <w:r>
        <w:rPr>
          <w:rStyle w:val="Style13"/>
          <w:rFonts w:cs="Times New Roman" w:ascii="Times New Roman" w:hAnsi="Times New Roman"/>
          <w:b/>
          <w:sz w:val="28"/>
          <w:szCs w:val="28"/>
          <w:shd w:fill="auto" w:val="clear"/>
        </w:rPr>
        <w:t xml:space="preserve"> (права)"</w:t>
      </w:r>
      <w:r>
        <w:rPr>
          <w:rStyle w:val="Style13"/>
          <w:rFonts w:cs="Times New Roman" w:ascii="Times New Roman" w:hAnsi="Times New Roman"/>
          <w:sz w:val="28"/>
          <w:szCs w:val="28"/>
          <w:shd w:fill="auto" w:val="clear"/>
        </w:rPr>
        <w:t xml:space="preserve"> указываются основания прекращения права собственности (наименование и реквизиты (дата, номер) соответствующего договора или акта).</w:t>
      </w:r>
      <w:r>
        <w:rPr>
          <w:rFonts w:ascii="Times New Roman" w:hAnsi="Times New Roman"/>
          <w:sz w:val="28"/>
          <w:szCs w:val="28"/>
        </w:rPr>
        <w:t xml:space="preserve"> </w:t>
      </w:r>
      <w:r>
        <w:rPr>
          <w:rStyle w:val="Style13"/>
          <w:rFonts w:cs="Times New Roman" w:ascii="Times New Roman" w:hAnsi="Times New Roman"/>
          <w:sz w:val="28"/>
          <w:szCs w:val="28"/>
          <w:shd w:fill="auto" w:val="clear"/>
        </w:rPr>
        <w:t>Для цифровых финансовых активов, цифровых прав и цифровой валюты также указывается дата их отчуждения.</w:t>
      </w:r>
    </w:p>
    <w:p>
      <w:pPr>
        <w:pStyle w:val="ListParagraph"/>
        <w:widowControl w:val="false"/>
        <w:ind w:left="567" w:hanging="0"/>
        <w:rPr>
          <w:rStyle w:val="Style13"/>
          <w:rFonts w:ascii="Times New Roman" w:hAnsi="Times New Roman" w:cs="Times New Roman"/>
          <w:b/>
          <w:sz w:val="28"/>
          <w:szCs w:val="28"/>
          <w:shd w:fill="auto" w:val="clear"/>
        </w:rPr>
      </w:pPr>
      <w:r>
        <w:rPr>
          <w:rFonts w:cs="Times New Roman" w:ascii="Times New Roman" w:hAnsi="Times New Roman"/>
          <w:b/>
          <w:sz w:val="28"/>
          <w:szCs w:val="28"/>
          <w:shd w:fill="auto" w:val="clear"/>
        </w:rPr>
      </w:r>
    </w:p>
    <w:p>
      <w:pPr>
        <w:pStyle w:val="ListParagraph"/>
        <w:ind w:left="0" w:firstLine="709"/>
        <w:jc w:val="center"/>
        <w:rPr>
          <w:rStyle w:val="Style13"/>
          <w:rFonts w:ascii="Times New Roman" w:hAnsi="Times New Roman" w:eastAsia="Times New Roman" w:cs="Times New Roman"/>
          <w:sz w:val="20"/>
          <w:szCs w:val="20"/>
          <w:shd w:fill="auto" w:val="clear"/>
        </w:rPr>
      </w:pPr>
      <w:r>
        <w:rPr/>
      </w:r>
    </w:p>
    <w:sectPr>
      <w:headerReference w:type="default" r:id="rId29"/>
      <w:type w:val="nextPage"/>
      <w:pgSz w:w="11906" w:h="16838"/>
      <w:pgMar w:left="1134" w:right="567" w:gutter="0" w:header="454"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 w:name="Courier New">
    <w:charset w:val="cc"/>
    <w:family w:val="roman"/>
    <w:pitch w:val="variable"/>
  </w:font>
  <w:font w:name="Segoe UI Symbo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2"/>
      <w:jc w:val="center"/>
      <w:rPr>
        <w:rFonts w:ascii="Times New Roman" w:hAnsi="Times New Roman" w:eastAsia="Times New Roman"/>
        <w:sz w:val="28"/>
      </w:rPr>
    </w:pPr>
    <w:r>
      <w:rPr>
        <w:rFonts w:eastAsia="Times New Roman" w:ascii="Times New Roman" w:hAnsi="Times New Roman"/>
        <w:sz w:val="28"/>
      </w:rPr>
      <w:fldChar w:fldCharType="begin"/>
    </w:r>
    <w:r>
      <w:rPr>
        <w:sz w:val="28"/>
        <w:rFonts w:eastAsia="Times New Roman" w:ascii="Times New Roman" w:hAnsi="Times New Roman"/>
      </w:rPr>
      <w:instrText xml:space="preserve"> PAGE </w:instrText>
    </w:r>
    <w:r>
      <w:rPr>
        <w:sz w:val="28"/>
        <w:rFonts w:eastAsia="Times New Roman" w:ascii="Times New Roman" w:hAnsi="Times New Roman"/>
      </w:rPr>
      <w:fldChar w:fldCharType="separate"/>
    </w:r>
    <w:r>
      <w:rPr>
        <w:sz w:val="28"/>
        <w:rFonts w:eastAsia="Times New Roman" w:ascii="Times New Roman" w:hAnsi="Times New Roman"/>
      </w:rPr>
      <w:t>2</w:t>
    </w:r>
    <w:r>
      <w:rPr>
        <w:sz w:val="28"/>
        <w:rFonts w:eastAsia="Times New Roman" w:ascii="Times New Roman" w:hAnsi="Times New Roman"/>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center"/>
      <w:pPr>
        <w:tabs>
          <w:tab w:val="num" w:pos="0"/>
        </w:tabs>
        <w:ind w:left="2422" w:hanging="720"/>
      </w:pPr>
      <w:rPr>
        <w:sz w:val="28"/>
        <w:b w:val="false"/>
        <w:szCs w:val="28"/>
        <w:color w:val="auto"/>
      </w:rPr>
    </w:lvl>
    <w:lvl w:ilvl="1">
      <w:start w:val="1"/>
      <w:numFmt w:val="decimal"/>
      <w:lvlText w:val="%2)"/>
      <w:lvlJc w:val="left"/>
      <w:pPr>
        <w:tabs>
          <w:tab w:val="num" w:pos="0"/>
        </w:tabs>
        <w:ind w:left="2858" w:hanging="360"/>
      </w:pPr>
      <w:rPr/>
    </w:lvl>
    <w:lvl w:ilvl="2">
      <w:start w:val="1"/>
      <w:numFmt w:val="lowerRoman"/>
      <w:lvlText w:val="%3."/>
      <w:lvlJc w:val="right"/>
      <w:pPr>
        <w:tabs>
          <w:tab w:val="num" w:pos="0"/>
        </w:tabs>
        <w:ind w:left="3578" w:hanging="180"/>
      </w:pPr>
      <w:rPr/>
    </w:lvl>
    <w:lvl w:ilvl="3">
      <w:start w:val="1"/>
      <w:numFmt w:val="decimal"/>
      <w:lvlText w:val="%4."/>
      <w:lvlJc w:val="left"/>
      <w:pPr>
        <w:tabs>
          <w:tab w:val="num" w:pos="0"/>
        </w:tabs>
        <w:ind w:left="4298" w:hanging="360"/>
      </w:pPr>
      <w:rPr/>
    </w:lvl>
    <w:lvl w:ilvl="4">
      <w:start w:val="1"/>
      <w:numFmt w:val="lowerLetter"/>
      <w:lvlText w:val="%5."/>
      <w:lvlJc w:val="left"/>
      <w:pPr>
        <w:tabs>
          <w:tab w:val="num" w:pos="0"/>
        </w:tabs>
        <w:ind w:left="5018" w:hanging="360"/>
      </w:pPr>
      <w:rPr/>
    </w:lvl>
    <w:lvl w:ilvl="5">
      <w:start w:val="1"/>
      <w:numFmt w:val="lowerRoman"/>
      <w:lvlText w:val="%6."/>
      <w:lvlJc w:val="right"/>
      <w:pPr>
        <w:tabs>
          <w:tab w:val="num" w:pos="0"/>
        </w:tabs>
        <w:ind w:left="5738" w:hanging="180"/>
      </w:pPr>
      <w:rPr/>
    </w:lvl>
    <w:lvl w:ilvl="6">
      <w:start w:val="1"/>
      <w:numFmt w:val="decimal"/>
      <w:lvlText w:val="%7."/>
      <w:lvlJc w:val="left"/>
      <w:pPr>
        <w:tabs>
          <w:tab w:val="num" w:pos="0"/>
        </w:tabs>
        <w:ind w:left="6458" w:hanging="360"/>
      </w:pPr>
      <w:rPr/>
    </w:lvl>
    <w:lvl w:ilvl="7">
      <w:start w:val="1"/>
      <w:numFmt w:val="lowerLetter"/>
      <w:lvlText w:val="%8."/>
      <w:lvlJc w:val="left"/>
      <w:pPr>
        <w:tabs>
          <w:tab w:val="num" w:pos="0"/>
        </w:tabs>
        <w:ind w:left="7178" w:hanging="360"/>
      </w:pPr>
      <w:rPr/>
    </w:lvl>
    <w:lvl w:ilvl="8">
      <w:start w:val="1"/>
      <w:numFmt w:val="lowerRoman"/>
      <w:lvlText w:val="%9."/>
      <w:lvlJc w:val="right"/>
      <w:pPr>
        <w:tabs>
          <w:tab w:val="num" w:pos="0"/>
        </w:tabs>
        <w:ind w:left="7898" w:hanging="180"/>
      </w:pPr>
      <w:rPr/>
    </w:lvl>
  </w:abstractNum>
  <w:abstractNum w:abstractNumId="2">
    <w:lvl w:ilvl="0">
      <w:start w:val="1"/>
      <w:numFmt w:val="decimal"/>
      <w:lvlText w:val="%1)"/>
      <w:lvlJc w:val="left"/>
      <w:pPr>
        <w:tabs>
          <w:tab w:val="num" w:pos="0"/>
        </w:tabs>
        <w:ind w:left="1070" w:hanging="360"/>
      </w:pPr>
      <w:rPr>
        <w:sz w:val="28"/>
        <w:b w:val="false"/>
        <w:szCs w:val="28"/>
        <w:rFonts w:ascii="Times New Roman" w:hAnsi="Times New Roman" w:cs="Times New Roman"/>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3">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2265" w:hanging="360"/>
      </w:pPr>
      <w:rPr/>
    </w:lvl>
    <w:lvl w:ilvl="2">
      <w:start w:val="1"/>
      <w:numFmt w:val="lowerRoman"/>
      <w:lvlText w:val="%3."/>
      <w:lvlJc w:val="right"/>
      <w:pPr>
        <w:tabs>
          <w:tab w:val="num" w:pos="0"/>
        </w:tabs>
        <w:ind w:left="2985" w:hanging="180"/>
      </w:pPr>
      <w:rPr/>
    </w:lvl>
    <w:lvl w:ilvl="3">
      <w:start w:val="1"/>
      <w:numFmt w:val="decimal"/>
      <w:lvlText w:val="%4."/>
      <w:lvlJc w:val="left"/>
      <w:pPr>
        <w:tabs>
          <w:tab w:val="num" w:pos="0"/>
        </w:tabs>
        <w:ind w:left="3705" w:hanging="360"/>
      </w:pPr>
      <w:rPr/>
    </w:lvl>
    <w:lvl w:ilvl="4">
      <w:start w:val="1"/>
      <w:numFmt w:val="lowerLetter"/>
      <w:lvlText w:val="%5."/>
      <w:lvlJc w:val="left"/>
      <w:pPr>
        <w:tabs>
          <w:tab w:val="num" w:pos="0"/>
        </w:tabs>
        <w:ind w:left="4425" w:hanging="360"/>
      </w:pPr>
      <w:rPr/>
    </w:lvl>
    <w:lvl w:ilvl="5">
      <w:start w:val="1"/>
      <w:numFmt w:val="lowerRoman"/>
      <w:lvlText w:val="%6."/>
      <w:lvlJc w:val="right"/>
      <w:pPr>
        <w:tabs>
          <w:tab w:val="num" w:pos="0"/>
        </w:tabs>
        <w:ind w:left="5145" w:hanging="180"/>
      </w:pPr>
      <w:rPr/>
    </w:lvl>
    <w:lvl w:ilvl="6">
      <w:start w:val="1"/>
      <w:numFmt w:val="decimal"/>
      <w:lvlText w:val="%7."/>
      <w:lvlJc w:val="left"/>
      <w:pPr>
        <w:tabs>
          <w:tab w:val="num" w:pos="0"/>
        </w:tabs>
        <w:ind w:left="5865" w:hanging="360"/>
      </w:pPr>
      <w:rPr/>
    </w:lvl>
    <w:lvl w:ilvl="7">
      <w:start w:val="1"/>
      <w:numFmt w:val="lowerLetter"/>
      <w:lvlText w:val="%8."/>
      <w:lvlJc w:val="left"/>
      <w:pPr>
        <w:tabs>
          <w:tab w:val="num" w:pos="0"/>
        </w:tabs>
        <w:ind w:left="6585" w:hanging="360"/>
      </w:pPr>
      <w:rPr/>
    </w:lvl>
    <w:lvl w:ilvl="8">
      <w:start w:val="1"/>
      <w:numFmt w:val="lowerRoman"/>
      <w:lvlText w:val="%9."/>
      <w:lvlJc w:val="right"/>
      <w:pPr>
        <w:tabs>
          <w:tab w:val="num" w:pos="0"/>
        </w:tabs>
        <w:ind w:left="7305" w:hanging="180"/>
      </w:pPr>
      <w:rPr/>
    </w:lvl>
  </w:abstractNum>
  <w:abstractNum w:abstractNumId="4">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5">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7">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before="0" w:after="0"/>
      <w:ind w:firstLine="709"/>
      <w:jc w:val="both"/>
    </w:pPr>
    <w:rPr>
      <w:rFonts w:ascii="Calibri" w:hAnsi="Calibri" w:eastAsia="Calibri" w:cs="Times New Roman"/>
      <w:color w:val="auto"/>
      <w:kern w:val="0"/>
      <w:sz w:val="22"/>
      <w:szCs w:val="22"/>
      <w:lang w:eastAsia="en-US" w:val="ru-RU" w:bidi="ar-SA"/>
    </w:rPr>
  </w:style>
  <w:style w:type="paragraph" w:styleId="1">
    <w:name w:val="Heading 1"/>
    <w:basedOn w:val="Normal"/>
    <w:next w:val="Normal"/>
    <w:link w:val="11"/>
    <w:uiPriority w:val="9"/>
    <w:qFormat/>
    <w:pPr>
      <w:keepNext w:val="true"/>
      <w:keepLines/>
      <w:spacing w:before="480" w:after="200"/>
      <w:outlineLvl w:val="0"/>
    </w:pPr>
    <w:rPr>
      <w:rFonts w:ascii="Arial" w:hAnsi="Arial" w:eastAsia="Arial" w:cs="Arial"/>
      <w:sz w:val="40"/>
      <w:szCs w:val="40"/>
    </w:rPr>
  </w:style>
  <w:style w:type="paragraph" w:styleId="2">
    <w:name w:val="Heading 2"/>
    <w:basedOn w:val="Normal"/>
    <w:next w:val="Normal"/>
    <w:link w:val="21"/>
    <w:uiPriority w:val="9"/>
    <w:unhideWhenUsed/>
    <w:qFormat/>
    <w:pPr>
      <w:keepNext w:val="true"/>
      <w:keepLines/>
      <w:spacing w:before="360" w:after="200"/>
      <w:outlineLvl w:val="1"/>
    </w:pPr>
    <w:rPr>
      <w:rFonts w:ascii="Arial" w:hAnsi="Arial" w:eastAsia="Arial" w:cs="Arial"/>
      <w:sz w:val="34"/>
    </w:rPr>
  </w:style>
  <w:style w:type="paragraph" w:styleId="3">
    <w:name w:val="Heading 3"/>
    <w:basedOn w:val="Normal"/>
    <w:next w:val="Normal"/>
    <w:link w:val="31"/>
    <w:uiPriority w:val="9"/>
    <w:unhideWhenUsed/>
    <w:qFormat/>
    <w:pPr>
      <w:keepNext w:val="true"/>
      <w:keepLines/>
      <w:spacing w:before="320" w:after="200"/>
      <w:outlineLvl w:val="2"/>
    </w:pPr>
    <w:rPr>
      <w:rFonts w:ascii="Arial" w:hAnsi="Arial" w:eastAsia="Arial" w:cs="Arial"/>
      <w:sz w:val="30"/>
      <w:szCs w:val="30"/>
    </w:rPr>
  </w:style>
  <w:style w:type="paragraph" w:styleId="4">
    <w:name w:val="Heading 4"/>
    <w:basedOn w:val="Normal"/>
    <w:next w:val="Normal"/>
    <w:link w:val="41"/>
    <w:uiPriority w:val="9"/>
    <w:unhideWhenUsed/>
    <w:qFormat/>
    <w:pPr>
      <w:keepNext w:val="true"/>
      <w:keepLines/>
      <w:spacing w:before="320" w:after="200"/>
      <w:outlineLvl w:val="3"/>
    </w:pPr>
    <w:rPr>
      <w:rFonts w:ascii="Arial" w:hAnsi="Arial" w:eastAsia="Arial" w:cs="Arial"/>
      <w:b/>
      <w:bCs/>
      <w:sz w:val="26"/>
      <w:szCs w:val="26"/>
    </w:rPr>
  </w:style>
  <w:style w:type="paragraph" w:styleId="5">
    <w:name w:val="Heading 5"/>
    <w:basedOn w:val="Normal"/>
    <w:next w:val="Normal"/>
    <w:link w:val="51"/>
    <w:uiPriority w:val="9"/>
    <w:unhideWhenUsed/>
    <w:qFormat/>
    <w:pPr>
      <w:keepNext w:val="true"/>
      <w:keepLines/>
      <w:spacing w:before="320" w:after="200"/>
      <w:outlineLvl w:val="4"/>
    </w:pPr>
    <w:rPr>
      <w:rFonts w:ascii="Arial" w:hAnsi="Arial" w:eastAsia="Arial" w:cs="Arial"/>
      <w:b/>
      <w:bCs/>
      <w:sz w:val="24"/>
      <w:szCs w:val="24"/>
    </w:rPr>
  </w:style>
  <w:style w:type="paragraph" w:styleId="6">
    <w:name w:val="Heading 6"/>
    <w:basedOn w:val="Normal"/>
    <w:next w:val="Normal"/>
    <w:link w:val="61"/>
    <w:uiPriority w:val="9"/>
    <w:unhideWhenUsed/>
    <w:qFormat/>
    <w:pPr>
      <w:keepNext w:val="true"/>
      <w:keepLines/>
      <w:spacing w:before="320" w:after="200"/>
      <w:outlineLvl w:val="5"/>
    </w:pPr>
    <w:rPr>
      <w:rFonts w:ascii="Arial" w:hAnsi="Arial" w:eastAsia="Arial" w:cs="Arial"/>
      <w:b/>
      <w:bCs/>
    </w:rPr>
  </w:style>
  <w:style w:type="paragraph" w:styleId="7">
    <w:name w:val="Heading 7"/>
    <w:basedOn w:val="Normal"/>
    <w:next w:val="Normal"/>
    <w:link w:val="71"/>
    <w:uiPriority w:val="9"/>
    <w:unhideWhenUsed/>
    <w:qFormat/>
    <w:pPr>
      <w:keepNext w:val="true"/>
      <w:keepLines/>
      <w:spacing w:before="320" w:after="200"/>
      <w:outlineLvl w:val="6"/>
    </w:pPr>
    <w:rPr>
      <w:rFonts w:ascii="Arial" w:hAnsi="Arial" w:eastAsia="Arial" w:cs="Arial"/>
      <w:b/>
      <w:bCs/>
      <w:i/>
      <w:iCs/>
    </w:rPr>
  </w:style>
  <w:style w:type="paragraph" w:styleId="8">
    <w:name w:val="Heading 8"/>
    <w:basedOn w:val="Normal"/>
    <w:next w:val="Normal"/>
    <w:link w:val="81"/>
    <w:uiPriority w:val="9"/>
    <w:unhideWhenUsed/>
    <w:qFormat/>
    <w:pPr>
      <w:keepNext w:val="true"/>
      <w:keepLines/>
      <w:spacing w:before="320" w:after="200"/>
      <w:outlineLvl w:val="7"/>
    </w:pPr>
    <w:rPr>
      <w:rFonts w:ascii="Arial" w:hAnsi="Arial" w:eastAsia="Arial" w:cs="Arial"/>
      <w:i/>
      <w:iCs/>
    </w:rPr>
  </w:style>
  <w:style w:type="paragraph" w:styleId="9">
    <w:name w:val="Heading 9"/>
    <w:basedOn w:val="Normal"/>
    <w:next w:val="Normal"/>
    <w:link w:val="91"/>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
    <w:qFormat/>
    <w:rPr>
      <w:rFonts w:ascii="Arial" w:hAnsi="Arial" w:eastAsia="Arial" w:cs="Arial"/>
      <w:sz w:val="40"/>
      <w:szCs w:val="40"/>
    </w:rPr>
  </w:style>
  <w:style w:type="character" w:styleId="21" w:customStyle="1">
    <w:name w:val="Заголовок 2 Знак"/>
    <w:basedOn w:val="DefaultParagraphFont"/>
    <w:uiPriority w:val="9"/>
    <w:qFormat/>
    <w:rPr>
      <w:rFonts w:ascii="Arial" w:hAnsi="Arial" w:eastAsia="Arial" w:cs="Arial"/>
      <w:sz w:val="34"/>
    </w:rPr>
  </w:style>
  <w:style w:type="character" w:styleId="31" w:customStyle="1">
    <w:name w:val="Заголовок 3 Знак"/>
    <w:basedOn w:val="DefaultParagraphFont"/>
    <w:uiPriority w:val="9"/>
    <w:qFormat/>
    <w:rPr>
      <w:rFonts w:ascii="Arial" w:hAnsi="Arial" w:eastAsia="Arial" w:cs="Arial"/>
      <w:sz w:val="30"/>
      <w:szCs w:val="30"/>
    </w:rPr>
  </w:style>
  <w:style w:type="character" w:styleId="41" w:customStyle="1">
    <w:name w:val="Заголовок 4 Знак"/>
    <w:basedOn w:val="DefaultParagraphFont"/>
    <w:uiPriority w:val="9"/>
    <w:qFormat/>
    <w:rPr>
      <w:rFonts w:ascii="Arial" w:hAnsi="Arial" w:eastAsia="Arial" w:cs="Arial"/>
      <w:b/>
      <w:bCs/>
      <w:sz w:val="26"/>
      <w:szCs w:val="26"/>
    </w:rPr>
  </w:style>
  <w:style w:type="character" w:styleId="51" w:customStyle="1">
    <w:name w:val="Заголовок 5 Знак"/>
    <w:basedOn w:val="DefaultParagraphFont"/>
    <w:uiPriority w:val="9"/>
    <w:qFormat/>
    <w:rPr>
      <w:rFonts w:ascii="Arial" w:hAnsi="Arial" w:eastAsia="Arial" w:cs="Arial"/>
      <w:b/>
      <w:bCs/>
      <w:sz w:val="24"/>
      <w:szCs w:val="24"/>
    </w:rPr>
  </w:style>
  <w:style w:type="character" w:styleId="61" w:customStyle="1">
    <w:name w:val="Заголовок 6 Знак"/>
    <w:basedOn w:val="DefaultParagraphFont"/>
    <w:uiPriority w:val="9"/>
    <w:qFormat/>
    <w:rPr>
      <w:rFonts w:ascii="Arial" w:hAnsi="Arial" w:eastAsia="Arial" w:cs="Arial"/>
      <w:b/>
      <w:bCs/>
      <w:sz w:val="22"/>
      <w:szCs w:val="22"/>
    </w:rPr>
  </w:style>
  <w:style w:type="character" w:styleId="71" w:customStyle="1">
    <w:name w:val="Заголовок 7 Знак"/>
    <w:basedOn w:val="DefaultParagraphFont"/>
    <w:uiPriority w:val="9"/>
    <w:qFormat/>
    <w:rPr>
      <w:rFonts w:ascii="Arial" w:hAnsi="Arial" w:eastAsia="Arial" w:cs="Arial"/>
      <w:b/>
      <w:bCs/>
      <w:i/>
      <w:iCs/>
      <w:sz w:val="22"/>
      <w:szCs w:val="22"/>
    </w:rPr>
  </w:style>
  <w:style w:type="character" w:styleId="81" w:customStyle="1">
    <w:name w:val="Заголовок 8 Знак"/>
    <w:basedOn w:val="DefaultParagraphFont"/>
    <w:uiPriority w:val="9"/>
    <w:qFormat/>
    <w:rPr>
      <w:rFonts w:ascii="Arial" w:hAnsi="Arial" w:eastAsia="Arial" w:cs="Arial"/>
      <w:i/>
      <w:iCs/>
      <w:sz w:val="22"/>
      <w:szCs w:val="22"/>
    </w:rPr>
  </w:style>
  <w:style w:type="character" w:styleId="91" w:customStyle="1">
    <w:name w:val="Заголовок 9 Знак"/>
    <w:basedOn w:val="DefaultParagraphFont"/>
    <w:uiPriority w:val="9"/>
    <w:qFormat/>
    <w:rPr>
      <w:rFonts w:ascii="Arial" w:hAnsi="Arial" w:eastAsia="Arial" w:cs="Arial"/>
      <w:i/>
      <w:iCs/>
      <w:sz w:val="21"/>
      <w:szCs w:val="21"/>
    </w:rPr>
  </w:style>
  <w:style w:type="character" w:styleId="Style5" w:customStyle="1">
    <w:name w:val="Название Знак"/>
    <w:basedOn w:val="DefaultParagraphFont"/>
    <w:uiPriority w:val="10"/>
    <w:qFormat/>
    <w:rPr>
      <w:sz w:val="48"/>
      <w:szCs w:val="48"/>
    </w:rPr>
  </w:style>
  <w:style w:type="character" w:styleId="Style6" w:customStyle="1">
    <w:name w:val="Подзаголовок Знак"/>
    <w:basedOn w:val="DefaultParagraphFont"/>
    <w:uiPriority w:val="11"/>
    <w:qFormat/>
    <w:rPr>
      <w:sz w:val="24"/>
      <w:szCs w:val="24"/>
    </w:rPr>
  </w:style>
  <w:style w:type="character" w:styleId="22" w:customStyle="1">
    <w:name w:val="Цитата 2 Знак"/>
    <w:link w:val="Quote"/>
    <w:uiPriority w:val="29"/>
    <w:qFormat/>
    <w:rPr>
      <w:i/>
    </w:rPr>
  </w:style>
  <w:style w:type="character" w:styleId="Style7" w:customStyle="1">
    <w:name w:val="Выделенная цитата Знак"/>
    <w:link w:val="IntenseQuote"/>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CaptionChar" w:customStyle="1">
    <w:name w:val="Caption Char"/>
    <w:uiPriority w:val="99"/>
    <w:qFormat/>
    <w:rPr/>
  </w:style>
  <w:style w:type="character" w:styleId="FootnoteTextChar" w:customStyle="1">
    <w:name w:val="Footnote Text Char"/>
    <w:uiPriority w:val="99"/>
    <w:qFormat/>
    <w:rPr>
      <w:sz w:val="18"/>
    </w:rPr>
  </w:style>
  <w:style w:type="character" w:styleId="Style8" w:customStyle="1">
    <w:name w:val="Текст концевой сноски Знак"/>
    <w:uiPriority w:val="99"/>
    <w:qFormat/>
    <w:rPr>
      <w:sz w:val="20"/>
    </w:rPr>
  </w:style>
  <w:style w:type="character" w:styleId="Style9">
    <w:name w:val="Символ концевой сноски"/>
    <w:basedOn w:val="DefaultParagraphFont"/>
    <w:uiPriority w:val="99"/>
    <w:semiHidden/>
    <w:unhideWhenUsed/>
    <w:qFormat/>
    <w:rPr>
      <w:vertAlign w:val="superscript"/>
    </w:rPr>
  </w:style>
  <w:style w:type="character" w:styleId="Style10">
    <w:name w:val="Endnote Reference"/>
    <w:rPr>
      <w:vertAlign w:val="superscript"/>
    </w:rPr>
  </w:style>
  <w:style w:type="character" w:styleId="Style11" w:customStyle="1">
    <w:name w:val="Верхний колонтитул Знак"/>
    <w:basedOn w:val="DefaultParagraphFont"/>
    <w:uiPriority w:val="99"/>
    <w:qFormat/>
    <w:rPr/>
  </w:style>
  <w:style w:type="character" w:styleId="Style12" w:customStyle="1">
    <w:name w:val="Нижний колонтитул Знак"/>
    <w:basedOn w:val="DefaultParagraphFont"/>
    <w:uiPriority w:val="99"/>
    <w:qFormat/>
    <w:rPr/>
  </w:style>
  <w:style w:type="character" w:styleId="Style13" w:customStyle="1">
    <w:name w:val="Основной текст Знак"/>
    <w:qFormat/>
    <w:rPr>
      <w:rFonts w:ascii="Calibri" w:hAnsi="Calibri" w:cs="Calibri"/>
      <w:shd w:fill="FFFFFF" w:val="clear"/>
    </w:rPr>
  </w:style>
  <w:style w:type="character" w:styleId="12" w:customStyle="1">
    <w:name w:val="Основной текст Знак1"/>
    <w:basedOn w:val="DefaultParagraphFont"/>
    <w:uiPriority w:val="99"/>
    <w:semiHidden/>
    <w:qFormat/>
    <w:rPr/>
  </w:style>
  <w:style w:type="character" w:styleId="Apple-converted-space" w:customStyle="1">
    <w:name w:val="apple-converted-space"/>
    <w:basedOn w:val="DefaultParagraphFont"/>
    <w:qFormat/>
    <w:rPr/>
  </w:style>
  <w:style w:type="character" w:styleId="Style14" w:customStyle="1">
    <w:name w:val="Текст сноски Знак"/>
    <w:uiPriority w:val="99"/>
    <w:qFormat/>
    <w:rPr>
      <w:rFonts w:ascii="Times New Roman" w:hAnsi="Times New Roman" w:eastAsia="Times New Roman" w:cs="Times New Roman"/>
      <w:sz w:val="20"/>
      <w:szCs w:val="20"/>
      <w:lang w:eastAsia="ru-RU"/>
    </w:rPr>
  </w:style>
  <w:style w:type="character" w:styleId="Style15">
    <w:name w:val="Символ сноски"/>
    <w:uiPriority w:val="99"/>
    <w:semiHidden/>
    <w:qFormat/>
    <w:rPr>
      <w:vertAlign w:val="superscript"/>
    </w:rPr>
  </w:style>
  <w:style w:type="character" w:styleId="Style16">
    <w:name w:val="Footnote Reference"/>
    <w:rPr>
      <w:vertAlign w:val="superscript"/>
    </w:rPr>
  </w:style>
  <w:style w:type="character" w:styleId="FontStyle12" w:customStyle="1">
    <w:name w:val="Font Style12"/>
    <w:qFormat/>
    <w:rPr>
      <w:rFonts w:ascii="Times New Roman" w:hAnsi="Times New Roman" w:cs="Times New Roman"/>
      <w:sz w:val="24"/>
      <w:szCs w:val="24"/>
    </w:rPr>
  </w:style>
  <w:style w:type="character" w:styleId="Style17" w:customStyle="1">
    <w:name w:val="Основной текст_"/>
    <w:link w:val="14"/>
    <w:qFormat/>
    <w:rPr>
      <w:sz w:val="28"/>
      <w:szCs w:val="28"/>
      <w:shd w:fill="FFFFFF" w:val="clear"/>
    </w:rPr>
  </w:style>
  <w:style w:type="character" w:styleId="Style18" w:customStyle="1">
    <w:name w:val="Текст выноски Знак"/>
    <w:link w:val="BalloonText"/>
    <w:uiPriority w:val="99"/>
    <w:semiHidden/>
    <w:qFormat/>
    <w:rPr>
      <w:rFonts w:ascii="Tahoma" w:hAnsi="Tahoma" w:cs="Tahoma"/>
      <w:sz w:val="16"/>
      <w:szCs w:val="16"/>
    </w:rPr>
  </w:style>
  <w:style w:type="character" w:styleId="Annotationreference">
    <w:name w:val="annotation reference"/>
    <w:uiPriority w:val="99"/>
    <w:semiHidden/>
    <w:unhideWhenUsed/>
    <w:qFormat/>
    <w:rPr>
      <w:sz w:val="16"/>
      <w:szCs w:val="16"/>
    </w:rPr>
  </w:style>
  <w:style w:type="character" w:styleId="Style19" w:customStyle="1">
    <w:name w:val="Текст примечания Знак"/>
    <w:link w:val="Annotationtext"/>
    <w:uiPriority w:val="99"/>
    <w:qFormat/>
    <w:rPr>
      <w:sz w:val="20"/>
      <w:szCs w:val="20"/>
    </w:rPr>
  </w:style>
  <w:style w:type="character" w:styleId="Style20" w:customStyle="1">
    <w:name w:val="Тема примечания Знак"/>
    <w:link w:val="Annotationsubject"/>
    <w:uiPriority w:val="99"/>
    <w:semiHidden/>
    <w:qFormat/>
    <w:rPr>
      <w:b/>
      <w:bCs/>
      <w:sz w:val="20"/>
      <w:szCs w:val="20"/>
    </w:rPr>
  </w:style>
  <w:style w:type="character" w:styleId="111" w:customStyle="1">
    <w:name w:val="Основной текст Знак11"/>
    <w:uiPriority w:val="99"/>
    <w:semiHidden/>
    <w:qFormat/>
    <w:rPr>
      <w:rFonts w:cs="Times New Roman"/>
    </w:rPr>
  </w:style>
  <w:style w:type="character" w:styleId="-">
    <w:name w:val="Hyperlink"/>
    <w:basedOn w:val="DefaultParagraphFont"/>
    <w:uiPriority w:val="99"/>
    <w:unhideWhenUsed/>
    <w:rPr>
      <w:color w:val="0563C1" w:themeColor="hyperlink"/>
      <w:u w:val="single"/>
    </w:rPr>
  </w:style>
  <w:style w:type="character" w:styleId="FontStyle33" w:customStyle="1">
    <w:name w:val="Font Style33"/>
    <w:basedOn w:val="DefaultParagraphFont"/>
    <w:uiPriority w:val="99"/>
    <w:qFormat/>
    <w:rPr>
      <w:rFonts w:ascii="Times New Roman" w:hAnsi="Times New Roman" w:cs="Times New Roman"/>
      <w:sz w:val="28"/>
      <w:szCs w:val="28"/>
    </w:rPr>
  </w:style>
  <w:style w:type="paragraph" w:styleId="Style21">
    <w:name w:val="Заголовок"/>
    <w:basedOn w:val="Normal"/>
    <w:next w:val="Style22"/>
    <w:qFormat/>
    <w:pPr>
      <w:keepNext w:val="true"/>
      <w:spacing w:before="240" w:after="120"/>
    </w:pPr>
    <w:rPr>
      <w:rFonts w:ascii="Liberation Sans" w:hAnsi="Liberation Sans" w:eastAsia="Microsoft YaHei" w:cs="Lucida Sans"/>
      <w:sz w:val="28"/>
      <w:szCs w:val="28"/>
    </w:rPr>
  </w:style>
  <w:style w:type="paragraph" w:styleId="Style22">
    <w:name w:val="Body Text"/>
    <w:basedOn w:val="Normal"/>
    <w:link w:val="Style13"/>
    <w:pPr>
      <w:widowControl w:val="false"/>
      <w:shd w:val="clear" w:color="auto" w:fill="FFFFFF"/>
      <w:spacing w:lineRule="exact" w:line="298" w:before="0" w:after="780"/>
      <w:ind w:hanging="1600"/>
    </w:pPr>
    <w:rPr>
      <w:rFonts w:cs="Calibri"/>
    </w:rPr>
  </w:style>
  <w:style w:type="paragraph" w:styleId="Style23">
    <w:name w:val="List"/>
    <w:basedOn w:val="Style22"/>
    <w:pPr/>
    <w:rPr>
      <w:rFonts w:cs="Lucida Sans"/>
    </w:rPr>
  </w:style>
  <w:style w:type="paragraph" w:styleId="Style24">
    <w:name w:val="Caption"/>
    <w:basedOn w:val="Normal"/>
    <w:qFormat/>
    <w:pPr>
      <w:suppressLineNumbers/>
      <w:spacing w:before="120" w:after="120"/>
    </w:pPr>
    <w:rPr>
      <w:rFonts w:cs="Lucida Sans"/>
      <w:i/>
      <w:iCs/>
      <w:sz w:val="24"/>
      <w:szCs w:val="24"/>
    </w:rPr>
  </w:style>
  <w:style w:type="paragraph" w:styleId="Style25">
    <w:name w:val="Указатель"/>
    <w:basedOn w:val="Normal"/>
    <w:qFormat/>
    <w:pPr>
      <w:suppressLineNumbers/>
    </w:pPr>
    <w:rPr>
      <w:rFonts w:cs="Lucida Sans"/>
    </w:rPr>
  </w:style>
  <w:style w:type="paragraph" w:styleId="NoSpacing">
    <w:name w:val="No Spacing"/>
    <w:uiPriority w:val="1"/>
    <w:qFormat/>
    <w:pPr>
      <w:widowControl/>
      <w:bidi w:val="0"/>
      <w:spacing w:before="0" w:after="0"/>
      <w:jc w:val="left"/>
    </w:pPr>
    <w:rPr>
      <w:rFonts w:ascii="Calibri" w:hAnsi="Calibri" w:eastAsia="Calibri" w:cs="Times New Roman"/>
      <w:color w:val="auto"/>
      <w:kern w:val="0"/>
      <w:sz w:val="20"/>
      <w:szCs w:val="20"/>
      <w:lang w:val="ru-RU" w:eastAsia="ru-RU" w:bidi="ar-SA"/>
    </w:rPr>
  </w:style>
  <w:style w:type="paragraph" w:styleId="Style26">
    <w:name w:val="Title"/>
    <w:basedOn w:val="Normal"/>
    <w:next w:val="Normal"/>
    <w:link w:val="Style5"/>
    <w:uiPriority w:val="10"/>
    <w:qFormat/>
    <w:pPr>
      <w:spacing w:before="300" w:after="200"/>
      <w:contextualSpacing/>
    </w:pPr>
    <w:rPr>
      <w:sz w:val="48"/>
      <w:szCs w:val="48"/>
    </w:rPr>
  </w:style>
  <w:style w:type="paragraph" w:styleId="Style27">
    <w:name w:val="Subtitle"/>
    <w:basedOn w:val="Normal"/>
    <w:next w:val="Normal"/>
    <w:link w:val="Style6"/>
    <w:uiPriority w:val="11"/>
    <w:qFormat/>
    <w:pPr>
      <w:spacing w:before="200" w:after="200"/>
    </w:pPr>
    <w:rPr>
      <w:sz w:val="24"/>
      <w:szCs w:val="24"/>
    </w:rPr>
  </w:style>
  <w:style w:type="paragraph" w:styleId="Quote">
    <w:name w:val="Quote"/>
    <w:basedOn w:val="Normal"/>
    <w:next w:val="Normal"/>
    <w:link w:val="22"/>
    <w:uiPriority w:val="29"/>
    <w:qFormat/>
    <w:pPr>
      <w:ind w:left="720" w:right="720" w:firstLine="709"/>
    </w:pPr>
    <w:rPr>
      <w:i/>
    </w:rPr>
  </w:style>
  <w:style w:type="paragraph" w:styleId="IntenseQuote">
    <w:name w:val="Intense Quote"/>
    <w:basedOn w:val="Normal"/>
    <w:next w:val="Normal"/>
    <w:link w:val="Style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firstLine="709"/>
    </w:pPr>
    <w:rPr>
      <w:i/>
    </w:rPr>
  </w:style>
  <w:style w:type="paragraph" w:styleId="Caption">
    <w:name w:val="caption"/>
    <w:basedOn w:val="Normal"/>
    <w:next w:val="Normal"/>
    <w:uiPriority w:val="35"/>
    <w:semiHidden/>
    <w:unhideWhenUsed/>
    <w:qFormat/>
    <w:pPr>
      <w:spacing w:lineRule="auto" w:line="276"/>
    </w:pPr>
    <w:rPr>
      <w:b/>
      <w:bCs/>
      <w:color w:val="5B9BD5" w:themeColor="accent1"/>
      <w:sz w:val="18"/>
      <w:szCs w:val="18"/>
    </w:rPr>
  </w:style>
  <w:style w:type="paragraph" w:styleId="Style28">
    <w:name w:val="Endnote Text"/>
    <w:basedOn w:val="Normal"/>
    <w:link w:val="Style8"/>
    <w:uiPriority w:val="99"/>
    <w:semiHidden/>
    <w:unhideWhenUsed/>
    <w:pPr/>
    <w:rPr>
      <w:sz w:val="20"/>
    </w:rPr>
  </w:style>
  <w:style w:type="paragraph" w:styleId="13">
    <w:name w:val="TOC 1"/>
    <w:basedOn w:val="Normal"/>
    <w:next w:val="Normal"/>
    <w:uiPriority w:val="39"/>
    <w:unhideWhenUsed/>
    <w:pPr>
      <w:spacing w:before="0" w:after="57"/>
      <w:ind w:hanging="0"/>
    </w:pPr>
    <w:rPr/>
  </w:style>
  <w:style w:type="paragraph" w:styleId="23">
    <w:name w:val="TOC 2"/>
    <w:basedOn w:val="Normal"/>
    <w:next w:val="Normal"/>
    <w:uiPriority w:val="39"/>
    <w:unhideWhenUsed/>
    <w:pPr>
      <w:spacing w:before="0" w:after="57"/>
      <w:ind w:left="283" w:hanging="0"/>
    </w:pPr>
    <w:rPr/>
  </w:style>
  <w:style w:type="paragraph" w:styleId="32">
    <w:name w:val="TOC 3"/>
    <w:basedOn w:val="Normal"/>
    <w:next w:val="Normal"/>
    <w:uiPriority w:val="39"/>
    <w:unhideWhenUsed/>
    <w:pPr>
      <w:spacing w:before="0" w:after="57"/>
      <w:ind w:left="567" w:hanging="0"/>
    </w:pPr>
    <w:rPr/>
  </w:style>
  <w:style w:type="paragraph" w:styleId="42">
    <w:name w:val="TOC 4"/>
    <w:basedOn w:val="Normal"/>
    <w:next w:val="Normal"/>
    <w:uiPriority w:val="39"/>
    <w:unhideWhenUsed/>
    <w:pPr>
      <w:spacing w:before="0" w:after="57"/>
      <w:ind w:left="850" w:hanging="0"/>
    </w:pPr>
    <w:rPr/>
  </w:style>
  <w:style w:type="paragraph" w:styleId="52">
    <w:name w:val="TOC 5"/>
    <w:basedOn w:val="Normal"/>
    <w:next w:val="Normal"/>
    <w:uiPriority w:val="39"/>
    <w:unhideWhenUsed/>
    <w:pPr>
      <w:spacing w:before="0" w:after="57"/>
      <w:ind w:left="1134" w:hanging="0"/>
    </w:pPr>
    <w:rPr/>
  </w:style>
  <w:style w:type="paragraph" w:styleId="62">
    <w:name w:val="TOC 6"/>
    <w:basedOn w:val="Normal"/>
    <w:next w:val="Normal"/>
    <w:uiPriority w:val="39"/>
    <w:unhideWhenUsed/>
    <w:pPr>
      <w:spacing w:before="0" w:after="57"/>
      <w:ind w:left="1417" w:hanging="0"/>
    </w:pPr>
    <w:rPr/>
  </w:style>
  <w:style w:type="paragraph" w:styleId="72">
    <w:name w:val="TOC 7"/>
    <w:basedOn w:val="Normal"/>
    <w:next w:val="Normal"/>
    <w:uiPriority w:val="39"/>
    <w:unhideWhenUsed/>
    <w:pPr>
      <w:spacing w:before="0" w:after="57"/>
      <w:ind w:left="1701" w:hanging="0"/>
    </w:pPr>
    <w:rPr/>
  </w:style>
  <w:style w:type="paragraph" w:styleId="82">
    <w:name w:val="TOC 8"/>
    <w:basedOn w:val="Normal"/>
    <w:next w:val="Normal"/>
    <w:uiPriority w:val="39"/>
    <w:unhideWhenUsed/>
    <w:pPr>
      <w:spacing w:before="0" w:after="57"/>
      <w:ind w:left="1984" w:hanging="0"/>
    </w:pPr>
    <w:rPr/>
  </w:style>
  <w:style w:type="paragraph" w:styleId="92">
    <w:name w:val="TOC 9"/>
    <w:basedOn w:val="Normal"/>
    <w:next w:val="Normal"/>
    <w:uiPriority w:val="39"/>
    <w:unhideWhenUsed/>
    <w:pPr>
      <w:spacing w:before="0" w:after="57"/>
      <w:ind w:left="2268" w:hanging="0"/>
    </w:pPr>
    <w:rPr/>
  </w:style>
  <w:style w:type="paragraph" w:styleId="Style29">
    <w:name w:val="Index Heading"/>
    <w:basedOn w:val="Style21"/>
    <w:pPr/>
    <w:rPr/>
  </w:style>
  <w:style w:type="paragraph" w:styleId="Style30">
    <w:name w:val="TOC Heading"/>
    <w:uiPriority w:val="39"/>
    <w:unhideWhenUsed/>
    <w:pPr>
      <w:widowControl/>
      <w:bidi w:val="0"/>
      <w:spacing w:before="0" w:after="0"/>
      <w:jc w:val="left"/>
    </w:pPr>
    <w:rPr>
      <w:rFonts w:ascii="Calibri" w:hAnsi="Calibri" w:eastAsia="Calibri" w:cs="Times New Roman"/>
      <w:color w:val="auto"/>
      <w:kern w:val="0"/>
      <w:sz w:val="20"/>
      <w:szCs w:val="20"/>
      <w:lang w:val="ru-RU" w:eastAsia="ru-RU" w:bidi="ar-SA"/>
    </w:rPr>
  </w:style>
  <w:style w:type="paragraph" w:styleId="Tableoffigures">
    <w:name w:val="table of figures"/>
    <w:basedOn w:val="Normal"/>
    <w:next w:val="Normal"/>
    <w:uiPriority w:val="99"/>
    <w:unhideWhenUsed/>
    <w:qFormat/>
    <w:pPr/>
    <w:rPr/>
  </w:style>
  <w:style w:type="paragraph" w:styleId="Style31">
    <w:name w:val="Колонтитул"/>
    <w:basedOn w:val="Normal"/>
    <w:qFormat/>
    <w:pPr/>
    <w:rPr/>
  </w:style>
  <w:style w:type="paragraph" w:styleId="Style32">
    <w:name w:val="Header"/>
    <w:basedOn w:val="Normal"/>
    <w:link w:val="Style11"/>
    <w:uiPriority w:val="99"/>
    <w:unhideWhenUsed/>
    <w:pPr>
      <w:tabs>
        <w:tab w:val="clear" w:pos="709"/>
        <w:tab w:val="center" w:pos="4677" w:leader="none"/>
        <w:tab w:val="right" w:pos="9355" w:leader="none"/>
      </w:tabs>
    </w:pPr>
    <w:rPr/>
  </w:style>
  <w:style w:type="paragraph" w:styleId="Style33">
    <w:name w:val="Footer"/>
    <w:basedOn w:val="Normal"/>
    <w:link w:val="Style12"/>
    <w:uiPriority w:val="99"/>
    <w:unhideWhenUsed/>
    <w:pPr>
      <w:tabs>
        <w:tab w:val="clear" w:pos="709"/>
        <w:tab w:val="center" w:pos="4677" w:leader="none"/>
        <w:tab w:val="right" w:pos="9355" w:leader="none"/>
      </w:tabs>
    </w:pPr>
    <w:rPr/>
  </w:style>
  <w:style w:type="paragraph" w:styleId="ConsPlusNonformat" w:customStyle="1">
    <w:name w:val="ConsPlusNonformat"/>
    <w:uiPriority w:val="99"/>
    <w:qFormat/>
    <w:pPr>
      <w:widowControl/>
      <w:bidi w:val="0"/>
      <w:spacing w:before="0" w:after="0"/>
      <w:ind w:firstLine="709"/>
      <w:jc w:val="both"/>
    </w:pPr>
    <w:rPr>
      <w:rFonts w:ascii="Courier New" w:hAnsi="Courier New" w:cs="Courier New" w:eastAsia="Calibri"/>
      <w:color w:val="auto"/>
      <w:kern w:val="0"/>
      <w:sz w:val="20"/>
      <w:szCs w:val="20"/>
      <w:lang w:eastAsia="en-US" w:val="ru-RU" w:bidi="ar-SA"/>
    </w:rPr>
  </w:style>
  <w:style w:type="paragraph" w:styleId="ListParagraph">
    <w:name w:val="List Paragraph"/>
    <w:basedOn w:val="Normal"/>
    <w:uiPriority w:val="34"/>
    <w:qFormat/>
    <w:pPr>
      <w:spacing w:before="0" w:after="0"/>
      <w:ind w:left="720" w:firstLine="709"/>
      <w:contextualSpacing/>
    </w:pPr>
    <w:rPr/>
  </w:style>
  <w:style w:type="paragraph" w:styleId="Default" w:customStyle="1">
    <w:name w:val="Default"/>
    <w:qFormat/>
    <w:pPr>
      <w:widowControl/>
      <w:bidi w:val="0"/>
      <w:spacing w:before="0" w:after="0"/>
      <w:ind w:firstLine="709"/>
      <w:jc w:val="both"/>
    </w:pPr>
    <w:rPr>
      <w:rFonts w:ascii="Times New Roman" w:hAnsi="Times New Roman" w:eastAsia="Calibri" w:cs="Times New Roman"/>
      <w:color w:val="000000"/>
      <w:kern w:val="0"/>
      <w:sz w:val="24"/>
      <w:szCs w:val="24"/>
      <w:lang w:val="ru-RU" w:eastAsia="ru-RU" w:bidi="ar-SA"/>
    </w:rPr>
  </w:style>
  <w:style w:type="paragraph" w:styleId="NormalWeb">
    <w:name w:val="Normal (Web)"/>
    <w:basedOn w:val="Normal"/>
    <w:uiPriority w:val="99"/>
    <w:unhideWhenUsed/>
    <w:qFormat/>
    <w:pPr>
      <w:spacing w:before="240" w:after="240"/>
    </w:pPr>
    <w:rPr>
      <w:rFonts w:ascii="Times New Roman" w:hAnsi="Times New Roman" w:eastAsia="Times New Roman"/>
      <w:sz w:val="24"/>
      <w:szCs w:val="24"/>
      <w:lang w:eastAsia="ru-RU"/>
    </w:rPr>
  </w:style>
  <w:style w:type="paragraph" w:styleId="Style34">
    <w:name w:val="Footnote Text"/>
    <w:basedOn w:val="Normal"/>
    <w:link w:val="Style14"/>
    <w:uiPriority w:val="99"/>
    <w:pPr/>
    <w:rPr>
      <w:rFonts w:ascii="Times New Roman" w:hAnsi="Times New Roman" w:eastAsia="Times New Roman"/>
      <w:sz w:val="20"/>
      <w:szCs w:val="20"/>
      <w:lang w:eastAsia="ru-RU"/>
    </w:rPr>
  </w:style>
  <w:style w:type="paragraph" w:styleId="14" w:customStyle="1">
    <w:name w:val="Основной текст1"/>
    <w:basedOn w:val="Normal"/>
    <w:link w:val="Style17"/>
    <w:qFormat/>
    <w:pPr>
      <w:shd w:val="clear" w:color="auto" w:fill="FFFFFF"/>
      <w:spacing w:lineRule="atLeast" w:line="0" w:before="0" w:after="420"/>
      <w:ind w:hanging="420"/>
      <w:jc w:val="center"/>
    </w:pPr>
    <w:rPr>
      <w:sz w:val="28"/>
      <w:szCs w:val="28"/>
    </w:rPr>
  </w:style>
  <w:style w:type="paragraph" w:styleId="BalloonText">
    <w:name w:val="Balloon Text"/>
    <w:basedOn w:val="Normal"/>
    <w:link w:val="Style18"/>
    <w:uiPriority w:val="99"/>
    <w:semiHidden/>
    <w:unhideWhenUsed/>
    <w:qFormat/>
    <w:pPr/>
    <w:rPr>
      <w:rFonts w:ascii="Tahoma" w:hAnsi="Tahoma" w:cs="Tahoma"/>
      <w:sz w:val="16"/>
      <w:szCs w:val="16"/>
    </w:rPr>
  </w:style>
  <w:style w:type="paragraph" w:styleId="Annotationtext">
    <w:name w:val="annotation text"/>
    <w:basedOn w:val="Normal"/>
    <w:link w:val="Style19"/>
    <w:uiPriority w:val="99"/>
    <w:unhideWhenUsed/>
    <w:qFormat/>
    <w:pPr/>
    <w:rPr>
      <w:sz w:val="20"/>
      <w:szCs w:val="20"/>
    </w:rPr>
  </w:style>
  <w:style w:type="paragraph" w:styleId="Annotationsubject">
    <w:name w:val="annotation subject"/>
    <w:basedOn w:val="Annotationtext"/>
    <w:next w:val="Annotationtext"/>
    <w:link w:val="Style20"/>
    <w:uiPriority w:val="99"/>
    <w:semiHidden/>
    <w:unhideWhenUsed/>
    <w:qFormat/>
    <w:pPr/>
    <w:rPr>
      <w:b/>
      <w:bCs/>
    </w:rPr>
  </w:style>
  <w:style w:type="paragraph" w:styleId="ConsPlusNormal" w:customStyle="1">
    <w:name w:val="ConsPlusNormal"/>
    <w:qFormat/>
    <w:pPr>
      <w:widowControl/>
      <w:bidi w:val="0"/>
      <w:spacing w:before="0" w:after="0"/>
      <w:jc w:val="left"/>
    </w:pPr>
    <w:rPr>
      <w:rFonts w:ascii="Times New Roman" w:hAnsi="Times New Roman" w:eastAsia="Calibri" w:cs="Times New Roman"/>
      <w:color w:val="auto"/>
      <w:kern w:val="0"/>
      <w:sz w:val="28"/>
      <w:szCs w:val="28"/>
      <w:lang w:eastAsia="en-US" w:val="ru-RU" w:bidi="ar-SA"/>
    </w:rPr>
  </w:style>
  <w:style w:type="paragraph" w:styleId="Revision">
    <w:name w:val="Revision"/>
    <w:uiPriority w:val="99"/>
    <w:semiHidden/>
    <w:qFormat/>
    <w:pPr>
      <w:widowControl/>
      <w:bidi w:val="0"/>
      <w:spacing w:before="0" w:after="0"/>
      <w:jc w:val="left"/>
    </w:pPr>
    <w:rPr>
      <w:rFonts w:ascii="Calibri" w:hAnsi="Calibri" w:eastAsia="Calibri" w:cs="Times New Roman"/>
      <w:color w:val="auto"/>
      <w:kern w:val="0"/>
      <w:sz w:val="22"/>
      <w:szCs w:val="22"/>
      <w:lang w:eastAsia="en-US"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GridLight">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customStyle="1" w:styleId="11">
    <w:name w:val="Таблица простая 1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color w:val="404040"/>
        <w:sz w:val="22"/>
      </w:rPr>
      <w:tbl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210">
    <w:name w:val="Таблица простая 21"/>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color w:val="404040"/>
        <w:sz w:val="22"/>
      </w:rPr>
      <w:tblPr/>
      <w:tcPr>
        <w:tcBorders>
          <w:top w:val="single" w:color="000000" w:themeColor="text1" w:sz="4" w:space="0"/>
          <w:bottom w:val="single" w:color="000000" w:themeColor="text1" w:sz="4" w:space="0"/>
        </w:tcBorders>
      </w:tc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customStyle="1" w:styleId="41">
    <w:name w:val="Таблица простая 41"/>
    <w:basedOn w:val="a1"/>
    <w:uiPriority w:val="99"/>
    <w:tblPr>
      <w:tblStyleRowBandSize w:val="1"/>
      <w:tblStyleColBandSize w:val="1"/>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color="000000" w:sz="4" w:space="0"/>
          <w:bottom w:val="single" w:color="404040" w:sz="4" w:space="0"/>
          <w:right w:val="none" w:color="000000" w:sz="4" w:space="0"/>
        </w:tcBorders>
        <w:shd w:val="clear" w:color="FFFFFF" w:fill="auto"/>
      </w:tcPr>
    </w:tblStylePr>
    <w:tblStylePr w:type="lastRow">
      <w:rPr>
        <w:i/>
        <w:color w:val="404040"/>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customStyle="1" w:styleId="-11">
    <w:name w:val="Таблица-сетка 1 светлая1"/>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color w:val="404040"/>
      </w:rPr>
      <w:tblPr/>
      <w:tcPr>
        <w:tcBorders>
          <w:bottom w:val="single" w:color="6A6A6A" w:themeColor="tex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a1"/>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blPr/>
      <w:tcPr>
        <w:tcBorders>
          <w:bottom w:val="single" w:color="9EC4E6" w:themeColor="accen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BCD6EE" w:themeColor="accent1" w:sz="4" w:space="0"/>
          <w:left w:val="single" w:color="BCD6EE" w:themeColor="accent1" w:sz="4" w:space="0"/>
          <w:bottom w:val="single" w:color="BCD6EE" w:themeColor="accent1" w:sz="4" w:space="0"/>
          <w:right w:val="single" w:color="BCD6EE" w:themeColor="accent1" w:sz="4" w:space="0"/>
        </w:tcBorders>
      </w:tcPr>
    </w:tblStylePr>
  </w:style>
  <w:style w:type="table" w:customStyle="1" w:styleId="GridTable1Light-Accent2">
    <w:name w:val="Grid Table 1 Light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blPr/>
      <w:tcPr>
        <w:tcBorders>
          <w:bottom w:val="single" w:color="F4B286" w:themeColor="accent2"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GridTable1Light-Accent3">
    <w:name w:val="Grid Table 1 Light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blPr/>
      <w:tcPr>
        <w:tcBorders>
          <w:bottom w:val="single" w:color="CACACA" w:themeColor="accent3"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GridTable1Light-Accent4">
    <w:name w:val="Grid Table 1 Light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b/>
        <w:color w:val="404040"/>
      </w:rPr>
      <w:tblPr/>
      <w:tcPr>
        <w:tcBorders>
          <w:bottom w:val="single" w:color="FFDA6A" w:themeColor="accent4"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GridTable1Light-Accent5">
    <w:name w:val="Grid Table 1 Light - Accent 5"/>
    <w:basedOn w:val="a1"/>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b/>
        <w:color w:val="404040"/>
      </w:rPr>
      <w:tblPr/>
      <w:tcPr>
        <w:tcBorders>
          <w:bottom w:val="single" w:color="91ACDC" w:themeColor="accent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B3C5E7" w:themeColor="accent5" w:sz="4" w:space="0"/>
          <w:left w:val="single" w:color="B3C5E7" w:themeColor="accent5" w:sz="4" w:space="0"/>
          <w:bottom w:val="single" w:color="B3C5E7" w:themeColor="accent5" w:sz="4" w:space="0"/>
          <w:right w:val="single" w:color="B3C5E7" w:themeColor="accent5" w:sz="4" w:space="0"/>
        </w:tcBorders>
      </w:tcPr>
    </w:tblStylePr>
  </w:style>
  <w:style w:type="table" w:customStyle="1" w:styleId="GridTable1Light-Accent6">
    <w:name w:val="Grid Table 1 Light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blPr/>
      <w:tcPr>
        <w:tcBorders>
          <w:bottom w:val="single" w:color="AAD190" w:themeColor="accent6"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 w:type="table" w:customStyle="1" w:styleId="-21">
    <w:name w:val="Таблица-сетка 2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color w:val="404040"/>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color w:val="404040"/>
      </w:rPr>
      <w:tblPr/>
      <w:tcPr>
        <w:tcBorders>
          <w:top w:val="none" w:color="000000" w:sz="4" w:space="0"/>
          <w:left w:val="none" w:color="000000" w:sz="4" w:space="0"/>
          <w:bottom w:val="single" w:color="68A2D8" w:themeColor="accent1" w:sz="12" w:space="0"/>
          <w:right w:val="none" w:color="000000" w:sz="4" w:space="0"/>
        </w:tcBorders>
        <w:shd w:val="clear" w:color="FFFFFF" w:fill="auto"/>
      </w:tcPr>
    </w:tblStylePr>
    <w:tblStylePr w:type="lastRow">
      <w:rPr>
        <w:b/>
        <w:color w:val="404040"/>
      </w:rPr>
      <w:tblPr/>
      <w:tcPr>
        <w:tcBorders>
          <w:top w:val="single" w:color="68A2D8" w:themeColor="accent1"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DDEAF6" w:fill="DDEAF6" w:themeFill="accent1" w:themeFillTint="34"/>
      </w:tcPr>
    </w:tblStylePr>
    <w:tblStylePr w:type="band1Horz">
      <w:rPr>
        <w:color w:val="404040"/>
        <w:sz w:val="22"/>
      </w:rPr>
      <w:tblPr/>
      <w:tcPr>
        <w:shd w:val="clear" w:color="DDEAF6"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404040"/>
      </w:rPr>
      <w:tblPr/>
      <w:tcPr>
        <w:tcBorders>
          <w:top w:val="none" w:color="000000" w:sz="4" w:space="0"/>
          <w:left w:val="none" w:color="000000" w:sz="4" w:space="0"/>
          <w:bottom w:val="single" w:color="F4B184" w:themeColor="accent2" w:sz="12" w:space="0"/>
          <w:right w:val="none" w:color="000000" w:sz="4" w:space="0"/>
        </w:tcBorders>
        <w:shd w:val="clear" w:color="FFFFFF" w:fill="auto"/>
      </w:tcPr>
    </w:tblStylePr>
    <w:tblStylePr w:type="lastRow">
      <w:rPr>
        <w:b/>
        <w:color w:val="404040"/>
      </w:rPr>
      <w:tblPr/>
      <w:tcPr>
        <w:tcBorders>
          <w:top w:val="single" w:color="F4B184" w:themeColor="accent2"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one" w:color="000000" w:sz="4" w:space="0"/>
          <w:left w:val="none" w:color="000000" w:sz="4" w:space="0"/>
          <w:bottom w:val="single" w:color="A5A5A5" w:themeColor="accent3" w:sz="12" w:space="0"/>
          <w:right w:val="none" w:color="000000" w:sz="4" w:space="0"/>
        </w:tcBorders>
        <w:shd w:val="clear" w:color="FFFFFF" w:fill="auto"/>
      </w:tcPr>
    </w:tblStylePr>
    <w:tblStylePr w:type="lastRow">
      <w:rPr>
        <w:b/>
        <w:color w:val="404040"/>
      </w:rPr>
      <w:tblPr/>
      <w:tcPr>
        <w:tcBorders>
          <w:top w:val="single" w:color="A5A5A5" w:themeColor="accent3"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404040"/>
      </w:rPr>
      <w:tblPr/>
      <w:tcPr>
        <w:tcBorders>
          <w:top w:val="none" w:color="000000" w:sz="4" w:space="0"/>
          <w:left w:val="none" w:color="000000" w:sz="4" w:space="0"/>
          <w:bottom w:val="single" w:color="FFD865" w:themeColor="accent4" w:sz="12" w:space="0"/>
          <w:right w:val="none" w:color="000000" w:sz="4" w:space="0"/>
        </w:tcBorders>
        <w:shd w:val="clear" w:color="FFFFFF" w:fill="auto"/>
      </w:tcPr>
    </w:tblStylePr>
    <w:tblStylePr w:type="lastRow">
      <w:rPr>
        <w:b/>
        <w:color w:val="404040"/>
      </w:rPr>
      <w:tblPr/>
      <w:tcPr>
        <w:tcBorders>
          <w:top w:val="single" w:color="FFD865" w:themeColor="accent4"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blPr/>
      <w:tcPr>
        <w:tcBorders>
          <w:top w:val="none" w:color="000000" w:sz="4" w:space="0"/>
          <w:left w:val="none" w:color="000000" w:sz="4" w:space="0"/>
          <w:bottom w:val="single" w:color="4472C4" w:themeColor="accent5" w:sz="12" w:space="0"/>
          <w:right w:val="none" w:color="000000" w:sz="4" w:space="0"/>
        </w:tcBorders>
        <w:shd w:val="clear" w:color="FFFFFF" w:fill="auto"/>
      </w:tcPr>
    </w:tblStylePr>
    <w:tblStylePr w:type="lastRow">
      <w:rPr>
        <w:b/>
        <w:color w:val="404040"/>
      </w:rPr>
      <w:tblPr/>
      <w:tcPr>
        <w:tcBorders>
          <w:top w:val="single" w:color="4472C4" w:themeColor="accent5"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Row">
      <w:rPr>
        <w:b/>
        <w:color w:val="404040"/>
      </w:rPr>
      <w:tbl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DDEAF6" w:fill="DDEAF6" w:themeFill="accent1" w:themeFillTint="34"/>
      </w:tcPr>
    </w:tblStylePr>
    <w:tblStylePr w:type="band1Horz">
      <w:rPr>
        <w:color w:val="404040"/>
        <w:sz w:val="22"/>
      </w:rPr>
      <w:tblPr/>
      <w:tcPr>
        <w:shd w:val="clear" w:color="DDEAF6"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41">
    <w:name w:val="Таблица-сетка 41"/>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b/>
        <w:color w:val="FFFFFF"/>
        <w:sz w:val="22"/>
      </w:rPr>
      <w:tblPr/>
      <w:tcPr>
        <w:tcBorders>
          <w:top w:val="single" w:color="68A2D8" w:themeColor="accent1" w:sz="4" w:space="0"/>
          <w:left w:val="single" w:color="68A2D8" w:themeColor="accent1" w:sz="4" w:space="0"/>
          <w:bottom w:val="single" w:color="68A2D8" w:themeColor="accent1" w:sz="4" w:space="0"/>
          <w:right w:val="single" w:color="68A2D8" w:themeColor="accent1" w:sz="4" w:space="0"/>
        </w:tcBorders>
        <w:shd w:val="clear" w:color="68A2D8" w:fill="68A2D8" w:themeFill="accent1" w:themeFillTint="ea"/>
      </w:tcPr>
    </w:tblStylePr>
    <w:tblStylePr w:type="lastRow">
      <w:rPr>
        <w:b/>
        <w:color w:val="404040"/>
      </w:rPr>
      <w:tblPr/>
      <w:tcPr>
        <w:tcBorders>
          <w:top w:val="single" w:color="68A2D8" w:themeColor="accen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DEEBF6" w:fill="DEEBF6" w:themeFill="accent1" w:themeFillTint="32"/>
      </w:tcPr>
    </w:tblStylePr>
    <w:tblStylePr w:type="band1Horz">
      <w:rPr>
        <w:color w:val="404040"/>
        <w:sz w:val="22"/>
      </w:rPr>
      <w:tblPr/>
      <w:tcPr>
        <w:shd w:val="clear" w:color="DEEBF6"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b/>
        <w:color w:val="FFFFFF"/>
        <w:sz w:val="22"/>
      </w:rPr>
      <w:tblPr/>
      <w:tcPr>
        <w:tcBorders>
          <w:top w:val="single" w:color="F4B184" w:themeColor="accent2" w:sz="4" w:space="0"/>
          <w:left w:val="single" w:color="F4B184" w:themeColor="accent2" w:sz="4" w:space="0"/>
          <w:bottom w:val="single" w:color="F4B184" w:themeColor="accent2" w:sz="4" w:space="0"/>
          <w:right w:val="single" w:color="F4B184" w:themeColor="accent2" w:sz="4" w:space="0"/>
        </w:tcBorders>
        <w:shd w:val="clear" w:color="F4B184" w:fill="F4B184" w:themeFill="accent2" w:themeFillTint="97"/>
      </w:tcPr>
    </w:tblStylePr>
    <w:tblStylePr w:type="lastRow">
      <w:rPr>
        <w:b/>
        <w:color w:val="404040"/>
      </w:rPr>
      <w:tblPr/>
      <w:tcPr>
        <w:tcBorders>
          <w:top w:val="single" w:color="F4B184" w:themeColor="accent2"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b/>
        <w:color w:val="FFFFFF"/>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5A5A5" w:fill="A5A5A5" w:themeFill="accent3" w:themeFillTint="fe"/>
      </w:tcPr>
    </w:tblStylePr>
    <w:tblStylePr w:type="lastRow">
      <w:rPr>
        <w:b/>
        <w:color w:val="404040"/>
      </w:rPr>
      <w:tblPr/>
      <w:tcPr>
        <w:tcBorders>
          <w:top w:val="single" w:color="A5A5A5" w:themeColor="accent3"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firstRow">
      <w:rPr>
        <w:b/>
        <w:color w:val="FFFFFF"/>
        <w:sz w:val="22"/>
      </w:rPr>
      <w:tblPr/>
      <w:tcPr>
        <w:tcBorders>
          <w:top w:val="single" w:color="FFD865" w:themeColor="accent4" w:sz="4" w:space="0"/>
          <w:left w:val="single" w:color="FFD865" w:themeColor="accent4" w:sz="4" w:space="0"/>
          <w:bottom w:val="single" w:color="FFD865" w:themeColor="accent4" w:sz="4" w:space="0"/>
          <w:right w:val="single" w:color="FFD865" w:themeColor="accent4" w:sz="4" w:space="0"/>
        </w:tcBorders>
        <w:shd w:val="clear" w:color="FFD865" w:fill="FFD865" w:themeFill="accent4" w:themeFillTint="9a"/>
      </w:tcPr>
    </w:tblStylePr>
    <w:tblStylePr w:type="lastRow">
      <w:rPr>
        <w:b/>
        <w:color w:val="404040"/>
      </w:rPr>
      <w:tblPr/>
      <w:tcPr>
        <w:tcBorders>
          <w:top w:val="single" w:color="FFD865" w:themeColor="accent4"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b/>
        <w:color w:val="FFFFFF"/>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fill="4472C4" w:themeFill="accent5"/>
      </w:tcPr>
    </w:tblStylePr>
    <w:tblStylePr w:type="lastRow">
      <w:rPr>
        <w:b/>
        <w:color w:val="404040"/>
      </w:rPr>
      <w:tblPr/>
      <w:tcPr>
        <w:tcBorders>
          <w:top w:val="single" w:color="4472C4" w:themeColor="accent5"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color w:val="FFFFFF"/>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fill="70AD47" w:themeFill="accent6"/>
      </w:tcPr>
    </w:tblStylePr>
    <w:tblStylePr w:type="lastRow">
      <w:rPr>
        <w:b/>
        <w:color w:val="404040"/>
      </w:rPr>
      <w:tblPr/>
      <w:tcPr>
        <w:tcBorders>
          <w:top w:val="single" w:color="70AD47" w:themeColor="accent6"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000000" w:fill="000000" w:themeFill="text1"/>
      </w:tcPr>
    </w:tblStylePr>
    <w:tblStylePr w:type="lastRow">
      <w:rPr>
        <w:b/>
        <w:color w:val="FFFFFF"/>
        <w:sz w:val="22"/>
      </w:rPr>
      <w:tblPr/>
      <w:tcPr>
        <w:tcBorders>
          <w:top w:val="single" w:color="FFFFFF" w:themeColor="light1" w:sz="4" w:space="0"/>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5B9BD5" w:fill="5B9BD5" w:themeFill="accent1"/>
      </w:tcPr>
    </w:tblStylePr>
    <w:tblStylePr w:type="lastRow">
      <w:rPr>
        <w:b/>
        <w:color w:val="FFFFFF"/>
        <w:sz w:val="22"/>
      </w:rPr>
      <w:tblPr/>
      <w:tcPr>
        <w:tcBorders>
          <w:top w:val="single" w:color="FFFFFF" w:themeColor="light1" w:sz="4" w:space="0"/>
        </w:tcBorders>
        <w:shd w:val="clear" w:color="5B9BD5" w:fill="5B9BD5" w:themeFill="accent1"/>
      </w:tcPr>
    </w:tblStylePr>
    <w:tblStylePr w:type="firstCol">
      <w:rPr>
        <w:b/>
        <w:color w:val="FFFFFF"/>
        <w:sz w:val="22"/>
      </w:rPr>
      <w:tblPr/>
      <w:tcPr>
        <w:shd w:val="clear" w:color="5B9BD5" w:fill="5B9BD5" w:themeFill="accent1"/>
      </w:tcPr>
    </w:tblStylePr>
    <w:tblStylePr w:type="lastCol">
      <w:rPr>
        <w:b/>
        <w:color w:val="FFFFFF"/>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ED7D31" w:fill="ED7D31" w:themeFill="accent2"/>
      </w:tcPr>
    </w:tblStylePr>
    <w:tblStylePr w:type="lastRow">
      <w:rPr>
        <w:b/>
        <w:color w:val="FFFFFF"/>
        <w:sz w:val="22"/>
      </w:rPr>
      <w:tblPr/>
      <w:tcPr>
        <w:tcBorders>
          <w:top w:val="single" w:color="FFFFFF" w:themeColor="light1" w:sz="4" w:space="0"/>
        </w:tcBorders>
        <w:shd w:val="clear" w:color="ED7D31" w:fill="ED7D31" w:themeFill="accent2"/>
      </w:tcPr>
    </w:tblStylePr>
    <w:tblStylePr w:type="firstCol">
      <w:rPr>
        <w:b/>
        <w:color w:val="FFFFFF"/>
        <w:sz w:val="22"/>
      </w:rPr>
      <w:tblPr/>
      <w:tcPr>
        <w:shd w:val="clear" w:color="ED7D31" w:fill="ED7D31" w:themeFill="accent2"/>
      </w:tcPr>
    </w:tblStylePr>
    <w:tblStylePr w:type="lastCol">
      <w:rPr>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A5A5A5" w:fill="A5A5A5" w:themeFill="accent3"/>
      </w:tcPr>
    </w:tblStylePr>
    <w:tblStylePr w:type="lastRow">
      <w:rPr>
        <w:b/>
        <w:color w:val="FFFFFF"/>
        <w:sz w:val="22"/>
      </w:rPr>
      <w:tblPr/>
      <w:tcPr>
        <w:tcBorders>
          <w:top w:val="single" w:color="FFFFFF" w:themeColor="light1" w:sz="4" w:space="0"/>
        </w:tcBorders>
        <w:shd w:val="clear" w:color="A5A5A5" w:fill="A5A5A5" w:themeFill="accent3"/>
      </w:tcPr>
    </w:tblStylePr>
    <w:tblStylePr w:type="firstCol">
      <w:rPr>
        <w:b/>
        <w:color w:val="FFFFFF"/>
        <w:sz w:val="22"/>
      </w:rPr>
      <w:tblPr/>
      <w:tcPr>
        <w:shd w:val="clear" w:color="A5A5A5" w:fill="A5A5A5" w:themeFill="accent3"/>
      </w:tcPr>
    </w:tblStylePr>
    <w:tblStylePr w:type="lastCol">
      <w:rPr>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FFC000" w:fill="FFC000" w:themeFill="accent4"/>
      </w:tcPr>
    </w:tblStylePr>
    <w:tblStylePr w:type="lastRow">
      <w:rPr>
        <w:b/>
        <w:color w:val="FFFFFF"/>
        <w:sz w:val="22"/>
      </w:rPr>
      <w:tblPr/>
      <w:tcPr>
        <w:tcBorders>
          <w:top w:val="single" w:color="FFFFFF" w:themeColor="light1" w:sz="4" w:space="0"/>
        </w:tcBorders>
        <w:shd w:val="clear" w:color="FFC000" w:fill="FFC000" w:themeFill="accent4"/>
      </w:tcPr>
    </w:tblStylePr>
    <w:tblStylePr w:type="firstCol">
      <w:rPr>
        <w:b/>
        <w:color w:val="FFFFFF"/>
        <w:sz w:val="22"/>
      </w:rPr>
      <w:tblPr/>
      <w:tcPr>
        <w:shd w:val="clear" w:color="FFC000" w:fill="FFC000" w:themeFill="accent4"/>
      </w:tcPr>
    </w:tblStylePr>
    <w:tblStylePr w:type="lastCol">
      <w:rPr>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4472C4" w:fill="4472C4" w:themeFill="accent5"/>
      </w:tcPr>
    </w:tblStylePr>
    <w:tblStylePr w:type="lastRow">
      <w:rPr>
        <w:b/>
        <w:color w:val="FFFFFF"/>
        <w:sz w:val="22"/>
      </w:rPr>
      <w:tblPr/>
      <w:tcPr>
        <w:tcBorders>
          <w:top w:val="single" w:color="FFFFFF" w:themeColor="light1" w:sz="4" w:space="0"/>
        </w:tcBorders>
        <w:shd w:val="clear" w:color="4472C4" w:fill="4472C4" w:themeFill="accent5"/>
      </w:tcPr>
    </w:tblStylePr>
    <w:tblStylePr w:type="firstCol">
      <w:rPr>
        <w:b/>
        <w:color w:val="FFFFFF"/>
        <w:sz w:val="22"/>
      </w:rPr>
      <w:tblPr/>
      <w:tcPr>
        <w:shd w:val="clear" w:color="4472C4" w:fill="4472C4" w:themeFill="accent5"/>
      </w:tcPr>
    </w:tblStylePr>
    <w:tblStylePr w:type="lastCol">
      <w:rPr>
        <w:b/>
        <w:color w:val="FFFFFF"/>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70AD47" w:fill="70AD47" w:themeFill="accent6"/>
      </w:tcPr>
    </w:tblStylePr>
    <w:tblStylePr w:type="lastRow">
      <w:rPr>
        <w:b/>
        <w:color w:val="FFFFFF"/>
        <w:sz w:val="22"/>
      </w:rPr>
      <w:tblPr/>
      <w:tcPr>
        <w:tcBorders>
          <w:top w:val="single" w:color="FFFFFF" w:themeColor="light1" w:sz="4" w:space="0"/>
        </w:tcBorders>
        <w:shd w:val="clear" w:color="70AD47" w:fill="70AD47" w:themeFill="accent6"/>
      </w:tcPr>
    </w:tblStylePr>
    <w:tblStylePr w:type="firstCol">
      <w:rPr>
        <w:b/>
        <w:color w:val="FFFFFF"/>
        <w:sz w:val="22"/>
      </w:rPr>
      <w:tblPr/>
      <w:tcPr>
        <w:shd w:val="clear" w:color="70AD47" w:fill="70AD47" w:themeFill="accent6"/>
      </w:tcPr>
    </w:tblStylePr>
    <w:tblStylePr w:type="lastCol">
      <w:rPr>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blPr/>
      <w:tcPr>
        <w:tcBorders>
          <w:bottom w:val="single" w:color="7F7F7F" w:themeColor="text1" w:sz="12" w:space="0"/>
        </w:tcBorders>
      </w:tcPr>
    </w:tblStylePr>
    <w:tblStylePr w:type="lastRow">
      <w:rPr>
        <w:b/>
        <w:color w:val="7F7F7F" w:themeColor="text1" w:themeTint="80" w:themeShade="95"/>
      </w:rPr>
      <w:tblPr/>
    </w:tblStylePr>
    <w:tblStylePr w:type="firstCol">
      <w:rPr>
        <w:b/>
        <w:color w:val="7F7F7F" w:themeColor="text1" w:themeTint="80" w:themeShade="95"/>
      </w:rPr>
      <w:tblPr/>
    </w:tblStylePr>
    <w:tblStylePr w:type="lastCol">
      <w:rPr>
        <w:b/>
        <w:color w:val="7F7F7F" w:themeColor="text1" w:themeTint="80" w:themeShade="95"/>
      </w:rPr>
      <w:tbl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Pr/>
    </w:tblStylePr>
  </w:style>
  <w:style w:type="table" w:customStyle="1" w:styleId="GridTable6Colorful-Accent1">
    <w:name w:val="Grid Table 6 Colorful - Accent 1"/>
    <w:basedOn w:val="a1"/>
    <w:uiPriority w:val="99"/>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val="ACCCEA" w:themeColor="accent1" w:themeTint="80" w:themeShade="95"/>
      </w:rPr>
      <w:tblPr/>
      <w:tcPr>
        <w:tcBorders>
          <w:bottom w:val="single" w:color="ACCCEA" w:themeColor="accent1" w:sz="12" w:space="0"/>
        </w:tcBorders>
      </w:tcPr>
    </w:tblStylePr>
    <w:tblStylePr w:type="lastRow">
      <w:rPr>
        <w:b/>
        <w:color w:val="ACCCEA" w:themeColor="accent1" w:themeTint="80" w:themeShade="95"/>
      </w:rPr>
      <w:tblPr/>
    </w:tblStylePr>
    <w:tblStylePr w:type="firstCol">
      <w:rPr>
        <w:b/>
        <w:color w:val="ACCCEA" w:themeColor="accent1" w:themeTint="80" w:themeShade="95"/>
      </w:rPr>
      <w:tblPr/>
    </w:tblStylePr>
    <w:tblStylePr w:type="lastCol">
      <w:rPr>
        <w:b/>
        <w:color w:val="ACCCEA" w:themeColor="accent1" w:themeTint="80" w:themeShade="95"/>
      </w:rPr>
      <w:tbl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Pr/>
    </w:tblStylePr>
  </w:style>
  <w:style w:type="table" w:customStyle="1" w:styleId="GridTable6Colorful-Accent2">
    <w:name w:val="Grid Table 6 Colorful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F4B184" w:themeColor="accent2" w:themeTint="97" w:themeShade="95"/>
      </w:rPr>
      <w:tblPr/>
      <w:tcPr>
        <w:tcBorders>
          <w:bottom w:val="single" w:color="F4B184" w:themeColor="accent2" w:sz="12" w:space="0"/>
        </w:tcBorders>
      </w:tcPr>
    </w:tblStylePr>
    <w:tblStylePr w:type="lastRow">
      <w:rPr>
        <w:b/>
        <w:color w:val="F4B184" w:themeColor="accent2" w:themeTint="97" w:themeShade="95"/>
      </w:rPr>
      <w:tblPr/>
    </w:tblStylePr>
    <w:tblStylePr w:type="firstCol">
      <w:rPr>
        <w:b/>
        <w:color w:val="F4B184" w:themeColor="accent2" w:themeTint="97" w:themeShade="95"/>
      </w:rPr>
      <w:tblPr/>
    </w:tblStylePr>
    <w:tblStylePr w:type="lastCol">
      <w:rPr>
        <w:b/>
        <w:color w:val="F4B184" w:themeColor="accent2" w:themeTint="97" w:themeShade="95"/>
      </w:rPr>
      <w:tbl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Pr/>
    </w:tblStylePr>
  </w:style>
  <w:style w:type="table" w:customStyle="1" w:styleId="GridTable6Colorful-Accent3">
    <w:name w:val="Grid Table 6 Colorful - Accent 3"/>
    <w:basedOn w:val="a1"/>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e" w:themeShade="95"/>
      </w:rPr>
      <w:tblPr/>
      <w:tcPr>
        <w:tcBorders>
          <w:bottom w:val="single" w:color="A5A5A5" w:themeColor="accent3" w:sz="12" w:space="0"/>
        </w:tcBorders>
      </w:tcPr>
    </w:tblStylePr>
    <w:tblStylePr w:type="lastRow">
      <w:rPr>
        <w:b/>
        <w:color w:val="A5A5A5" w:themeColor="accent3" w:themeTint="fe" w:themeShade="95"/>
      </w:rPr>
      <w:tblPr/>
    </w:tblStylePr>
    <w:tblStylePr w:type="firstCol">
      <w:rPr>
        <w:b/>
        <w:color w:val="A5A5A5" w:themeColor="accent3" w:themeTint="fe" w:themeShade="95"/>
      </w:rPr>
      <w:tblPr/>
    </w:tblStylePr>
    <w:tblStylePr w:type="lastCol">
      <w:rPr>
        <w:b/>
        <w:color w:val="A5A5A5" w:themeColor="accent3" w:themeTint="fe" w:themeShade="95"/>
      </w:rPr>
      <w:tbl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Pr/>
    </w:tblStylePr>
  </w:style>
  <w:style w:type="table" w:customStyle="1" w:styleId="GridTable6Colorful-Accent4">
    <w:name w:val="Grid Table 6 Colorful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FFD865" w:themeColor="accent4" w:themeTint="9a" w:themeShade="95"/>
      </w:rPr>
      <w:tblPr/>
      <w:tcPr>
        <w:tcBorders>
          <w:bottom w:val="single" w:color="FFD865" w:themeColor="accent4" w:sz="12" w:space="0"/>
        </w:tcBorders>
      </w:tcPr>
    </w:tblStylePr>
    <w:tblStylePr w:type="lastRow">
      <w:rPr>
        <w:b/>
        <w:color w:val="FFD865" w:themeColor="accent4" w:themeTint="9a" w:themeShade="95"/>
      </w:rPr>
      <w:tblPr/>
    </w:tblStylePr>
    <w:tblStylePr w:type="firstCol">
      <w:rPr>
        <w:b/>
        <w:color w:val="FFD865" w:themeColor="accent4" w:themeTint="9a" w:themeShade="95"/>
      </w:rPr>
      <w:tblPr/>
    </w:tblStylePr>
    <w:tblStylePr w:type="lastCol">
      <w:rPr>
        <w:b/>
        <w:color w:val="FFD865" w:themeColor="accent4" w:themeTint="9a" w:themeShade="95"/>
      </w:rPr>
      <w:tbl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Pr/>
    </w:tblStylePr>
  </w:style>
  <w:style w:type="table" w:customStyle="1" w:styleId="GridTable6Colorful-Accent5">
    <w:name w:val="Grid Table 6 Colorful - Accent 5"/>
    <w:basedOn w:val="a1"/>
    <w:uiPriority w:val="99"/>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5" w:themeColor="accent5" w:themeShade="95"/>
      </w:rPr>
      <w:tblPr/>
      <w:tcPr>
        <w:tcBorders>
          <w:bottom w:val="single" w:color="4472C4" w:themeColor="accent5" w:sz="12" w:space="0"/>
        </w:tcBorders>
      </w:tcPr>
    </w:tblStylePr>
    <w:tblStylePr w:type="lastRow">
      <w:rPr>
        <w:b/>
        <w:color w:val="254175" w:themeColor="accent5" w:themeShade="95"/>
      </w:rPr>
      <w:tblPr/>
    </w:tblStylePr>
    <w:tblStylePr w:type="firstCol">
      <w:rPr>
        <w:b/>
        <w:color w:val="254175" w:themeColor="accent5" w:themeShade="95"/>
      </w:rPr>
      <w:tblPr/>
    </w:tblStylePr>
    <w:tblStylePr w:type="lastCol">
      <w:rPr>
        <w:b/>
        <w:color w:val="254175" w:themeColor="accent5" w:themeShade="95"/>
      </w:rPr>
      <w:tbl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Pr/>
    </w:tblStylePr>
  </w:style>
  <w:style w:type="table" w:customStyle="1" w:styleId="GridTable6Colorful-Accent6">
    <w:name w:val="Grid Table 6 Colorful - Accent 6"/>
    <w:basedOn w:val="a1"/>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5" w:themeColor="accent5" w:themeShade="95"/>
      </w:rPr>
      <w:tblPr/>
      <w:tcPr>
        <w:tcBorders>
          <w:bottom w:val="single" w:color="70AD47" w:themeColor="accent6" w:sz="12" w:space="0"/>
        </w:tcBorders>
      </w:tcPr>
    </w:tblStylePr>
    <w:tblStylePr w:type="lastRow">
      <w:rPr>
        <w:b/>
        <w:color w:val="254175" w:themeColor="accent5" w:themeShade="95"/>
      </w:rPr>
      <w:tblPr/>
    </w:tblStylePr>
    <w:tblStylePr w:type="firstCol">
      <w:rPr>
        <w:b/>
        <w:color w:val="254175" w:themeColor="accent5" w:themeShade="95"/>
      </w:rPr>
      <w:tblPr/>
    </w:tblStylePr>
    <w:tblStylePr w:type="lastCol">
      <w:rPr>
        <w:b/>
        <w:color w:val="254175" w:themeColor="accent5" w:themeShade="95"/>
      </w:rPr>
      <w:tblPr/>
    </w:tblStylePr>
    <w:tblStylePr w:type="band1Vert">
      <w:tblPr/>
      <w:tcPr>
        <w:shd w:val="clear" w:color="E1EFD8" w:fill="E1EFD8" w:themeFill="accent6" w:themeFillTint="34"/>
      </w:tcPr>
    </w:tblStylePr>
    <w:tblStylePr w:type="band1Horz">
      <w:rPr>
        <w:color w:val="254175" w:themeColor="accent5" w:themeShade="95"/>
        <w:sz w:val="22"/>
      </w:rPr>
      <w:tblPr/>
      <w:tcPr>
        <w:shd w:val="clear" w:color="E1EFD8" w:fill="E1EFD8" w:themeFill="accent6" w:themeFillTint="34"/>
      </w:tcPr>
    </w:tblStylePr>
    <w:tblStylePr w:type="band2Horz">
      <w:rPr>
        <w:color w:val="254175" w:themeColor="accent5" w:themeShade="95"/>
        <w:sz w:val="22"/>
      </w:rPr>
      <w:tblPr/>
    </w:tblStylePr>
  </w:style>
  <w:style w:type="table" w:customStyle="1" w:styleId="-71">
    <w:name w:val="Таблица-сетка 7 цветная1"/>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b/>
        <w:color w:val="7F7F7F"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val="7F7F7F"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F2F2F2" w:fill="F2F2F2" w:themeFill="text1" w:themeFillTint="d"/>
      </w:tcPr>
    </w:tblStylePr>
    <w:tblStylePr w:type="band1Horz">
      <w:rPr>
        <w:color w:val="7F7F7F" w:themeColor="text1" w:themeTint="80" w:themeShade="95"/>
        <w:sz w:val="22"/>
      </w:rPr>
      <w:tblPr/>
      <w:tcPr>
        <w:shd w:val="clear" w:color="F2F2F2" w:fill="F2F2F2" w:themeFill="text1" w:themeFillTint="d"/>
      </w:tcPr>
    </w:tblStylePr>
    <w:tblStylePr w:type="band2Horz">
      <w:rPr>
        <w:color w:val="7F7F7F" w:themeColor="text1" w:themeTint="80" w:themeShade="95"/>
        <w:sz w:val="22"/>
      </w:rPr>
      <w:tblPr/>
    </w:tblStylePr>
  </w:style>
  <w:style w:type="table" w:customStyle="1" w:styleId="GridTable7Colorful-Accent1">
    <w:name w:val="Grid Table 7 Colorful - Accent 1"/>
    <w:basedOn w:val="a1"/>
    <w:uiPriority w:val="99"/>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val="ACCCEA" w:themeColor="accent1" w:themeTint="80" w:themeShade="95"/>
        <w:sz w:val="22"/>
      </w:rPr>
      <w:tblPr/>
      <w:tcPr>
        <w:tcBorders>
          <w:top w:val="none" w:color="auto" w:sz="0" w:space="0"/>
          <w:left w:val="none" w:color="auto" w:sz="0" w:space="0"/>
          <w:bottom w:val="single" w:color="ACCCEA" w:themeColor="accent1" w:sz="4" w:space="0"/>
          <w:right w:val="none" w:color="auto" w:sz="0" w:space="0"/>
        </w:tcBorders>
        <w:shd w:val="clear" w:color="FFFFFF" w:fill="FFFFFF" w:themeFill="light1"/>
      </w:tcPr>
    </w:tblStylePr>
    <w:tblStylePr w:type="lastRow">
      <w:rPr>
        <w:b/>
        <w:color w:val="ACCCEA" w:themeColor="accent1" w:themeTint="80" w:themeShade="95"/>
        <w:sz w:val="22"/>
      </w:rPr>
      <w:tblPr/>
      <w:tcPr>
        <w:tcBorders>
          <w:top w:val="single" w:color="ACCCEA"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CCCEA" w:themeColor="accent1" w:themeTint="80" w:themeShade="95"/>
        <w:sz w:val="22"/>
      </w:rPr>
      <w:tblPr/>
      <w:tcPr>
        <w:tcBorders>
          <w:top w:val="none" w:color="auto" w:sz="0" w:space="0"/>
          <w:left w:val="none" w:color="auto" w:sz="0" w:space="0"/>
          <w:bottom w:val="none" w:color="auto" w:sz="0" w:space="0"/>
          <w:right w:val="single" w:color="ACCCEA" w:themeColor="accent1" w:sz="4" w:space="0"/>
        </w:tcBorders>
        <w:shd w:val="clear" w:color="FFFFFF" w:fill="auto"/>
      </w:tcPr>
    </w:tblStylePr>
    <w:tblStylePr w:type="lastCol">
      <w:rPr>
        <w:i/>
        <w:color w:val="ACCCEA" w:themeColor="accent1" w:themeTint="80" w:themeShade="95"/>
        <w:sz w:val="22"/>
      </w:rPr>
      <w:tblPr/>
      <w:tcPr>
        <w:tcBorders>
          <w:top w:val="none" w:color="auto" w:sz="0" w:space="0"/>
          <w:left w:val="single" w:color="ACCCEA" w:themeColor="accent1" w:sz="4" w:space="0"/>
          <w:bottom w:val="none" w:color="auto" w:sz="0" w:space="0"/>
          <w:right w:val="none" w:color="auto" w:sz="0" w:space="0"/>
        </w:tcBorders>
        <w:shd w:val="clear" w:color="FFFFFF" w:fill="auto"/>
      </w:tc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Pr/>
    </w:tblStylePr>
  </w:style>
  <w:style w:type="table" w:customStyle="1" w:styleId="GridTable7Colorful-Accent2">
    <w:name w:val="Grid Table 7 Colorful - Accent 2"/>
    <w:basedOn w:val="a1"/>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F4B184" w:themeColor="accent2" w:themeTint="97" w:themeShade="95"/>
        <w:sz w:val="22"/>
      </w:rPr>
      <w:tblPr/>
      <w:tcPr>
        <w:tcBorders>
          <w:top w:val="none" w:color="auto" w:sz="0" w:space="0"/>
          <w:left w:val="none" w:color="auto" w:sz="0" w:space="0"/>
          <w:bottom w:val="single" w:color="F4B184" w:themeColor="accent2" w:sz="4" w:space="0"/>
          <w:right w:val="none" w:color="auto" w:sz="0" w:space="0"/>
        </w:tcBorders>
        <w:shd w:val="clear" w:color="FFFFFF" w:fill="FFFFFF" w:themeFill="light1"/>
      </w:tcPr>
    </w:tblStylePr>
    <w:tblStylePr w:type="lastRow">
      <w:rPr>
        <w:b/>
        <w:color w:val="F4B184" w:themeColor="accent2" w:themeTint="97" w:themeShade="95"/>
        <w:sz w:val="22"/>
      </w:rPr>
      <w:tblPr/>
      <w:tcPr>
        <w:tcBorders>
          <w:top w:val="single" w:color="F4B184"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4B184" w:themeColor="accent2" w:themeTint="97" w:themeShade="95"/>
        <w:sz w:val="22"/>
      </w:rPr>
      <w:tblPr/>
      <w:tcPr>
        <w:tcBorders>
          <w:top w:val="none" w:color="auto" w:sz="0" w:space="0"/>
          <w:left w:val="none" w:color="auto" w:sz="0" w:space="0"/>
          <w:bottom w:val="none" w:color="auto" w:sz="0" w:space="0"/>
          <w:right w:val="single" w:color="F4B184" w:themeColor="accent2" w:sz="4" w:space="0"/>
        </w:tcBorders>
        <w:shd w:val="clear" w:color="FFFFFF" w:fill="auto"/>
      </w:tcPr>
    </w:tblStylePr>
    <w:tblStylePr w:type="lastCol">
      <w:rPr>
        <w:i/>
        <w:color w:val="F4B184" w:themeColor="accent2" w:themeTint="97" w:themeShade="95"/>
        <w:sz w:val="22"/>
      </w:rPr>
      <w:tblPr/>
      <w:tcPr>
        <w:tcBorders>
          <w:top w:val="none" w:color="auto" w:sz="0" w:space="0"/>
          <w:left w:val="single" w:color="F4B184" w:themeColor="accent2" w:sz="4" w:space="0"/>
          <w:bottom w:val="none" w:color="auto" w:sz="0" w:space="0"/>
          <w:right w:val="none" w:color="auto" w:sz="0" w:space="0"/>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Pr/>
    </w:tblStylePr>
  </w:style>
  <w:style w:type="table" w:customStyle="1" w:styleId="GridTable7Colorful-Accent3">
    <w:name w:val="Grid Table 7 Colorful - Accent 3"/>
    <w:basedOn w:val="a1"/>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e" w:themeShade="95"/>
        <w:sz w:val="22"/>
      </w:rPr>
      <w:tblPr/>
      <w:tcPr>
        <w:tcBorders>
          <w:top w:val="none" w:color="auto" w:sz="0" w:space="0"/>
          <w:left w:val="none" w:color="auto" w:sz="0" w:space="0"/>
          <w:bottom w:val="single" w:color="A5A5A5" w:themeColor="accent3" w:sz="4" w:space="0"/>
          <w:right w:val="none" w:color="auto" w:sz="0" w:space="0"/>
        </w:tcBorders>
        <w:shd w:val="clear" w:color="FFFFFF" w:fill="FFFFFF" w:themeFill="light1"/>
      </w:tcPr>
    </w:tblStylePr>
    <w:tblStylePr w:type="lastRow">
      <w:rPr>
        <w:b/>
        <w:color w:val="A5A5A5" w:themeColor="accent3" w:themeTint="fe" w:themeShade="95"/>
        <w:sz w:val="22"/>
      </w:rPr>
      <w:tblPr/>
      <w:tcPr>
        <w:tcBorders>
          <w:top w:val="single" w:color="A5A5A5"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5A5A5" w:themeColor="accent3" w:themeTint="fe" w:themeShade="95"/>
        <w:sz w:val="22"/>
      </w:rPr>
      <w:tblPr/>
      <w:tcPr>
        <w:tcBorders>
          <w:top w:val="none" w:color="auto" w:sz="0" w:space="0"/>
          <w:left w:val="none" w:color="auto" w:sz="0" w:space="0"/>
          <w:bottom w:val="none" w:color="auto" w:sz="0" w:space="0"/>
          <w:right w:val="single" w:color="A5A5A5" w:themeColor="accent3" w:sz="4" w:space="0"/>
        </w:tcBorders>
        <w:shd w:val="clear" w:color="FFFFFF" w:fill="auto"/>
      </w:tcPr>
    </w:tblStylePr>
    <w:tblStylePr w:type="lastCol">
      <w:rPr>
        <w:i/>
        <w:color w:val="A5A5A5" w:themeColor="accent3" w:themeTint="fe" w:themeShade="95"/>
        <w:sz w:val="22"/>
      </w:rPr>
      <w:tblPr/>
      <w:tcPr>
        <w:tcBorders>
          <w:top w:val="none" w:color="auto" w:sz="0" w:space="0"/>
          <w:left w:val="single" w:color="A5A5A5" w:themeColor="accent3" w:sz="4" w:space="0"/>
          <w:bottom w:val="none" w:color="auto" w:sz="0" w:space="0"/>
          <w:right w:val="none" w:color="auto" w:sz="0" w:space="0"/>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Pr/>
    </w:tblStylePr>
  </w:style>
  <w:style w:type="table" w:customStyle="1" w:styleId="GridTable7Colorful-Accent4">
    <w:name w:val="Grid Table 7 Colorful - Accent 4"/>
    <w:basedOn w:val="a1"/>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FFD865" w:themeColor="accent4" w:themeTint="9a" w:themeShade="95"/>
        <w:sz w:val="22"/>
      </w:rPr>
      <w:tblPr/>
      <w:tcPr>
        <w:tcBorders>
          <w:top w:val="none" w:color="auto" w:sz="0" w:space="0"/>
          <w:left w:val="none" w:color="auto" w:sz="0" w:space="0"/>
          <w:bottom w:val="single" w:color="FFD865" w:themeColor="accent4" w:sz="4" w:space="0"/>
          <w:right w:val="none" w:color="auto" w:sz="0" w:space="0"/>
        </w:tcBorders>
        <w:shd w:val="clear" w:color="FFFFFF" w:fill="FFFFFF" w:themeFill="light1"/>
      </w:tcPr>
    </w:tblStylePr>
    <w:tblStylePr w:type="lastRow">
      <w:rPr>
        <w:b/>
        <w:color w:val="FFD865" w:themeColor="accent4" w:themeTint="9a" w:themeShade="95"/>
        <w:sz w:val="22"/>
      </w:rPr>
      <w:tblPr/>
      <w:tcPr>
        <w:tcBorders>
          <w:top w:val="single" w:color="FFD865"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FD865" w:themeColor="accent4" w:themeTint="9a" w:themeShade="95"/>
        <w:sz w:val="22"/>
      </w:rPr>
      <w:tblPr/>
      <w:tcPr>
        <w:tcBorders>
          <w:top w:val="none" w:color="auto" w:sz="0" w:space="0"/>
          <w:left w:val="none" w:color="auto" w:sz="0" w:space="0"/>
          <w:bottom w:val="none" w:color="auto" w:sz="0" w:space="0"/>
          <w:right w:val="single" w:color="FFD865" w:themeColor="accent4" w:sz="4" w:space="0"/>
        </w:tcBorders>
        <w:shd w:val="clear" w:color="FFFFFF" w:fill="auto"/>
      </w:tcPr>
    </w:tblStylePr>
    <w:tblStylePr w:type="lastCol">
      <w:rPr>
        <w:i/>
        <w:color w:val="FFD865" w:themeColor="accent4" w:themeTint="9a" w:themeShade="95"/>
        <w:sz w:val="22"/>
      </w:rPr>
      <w:tblPr/>
      <w:tcPr>
        <w:tcBorders>
          <w:top w:val="none" w:color="auto" w:sz="0" w:space="0"/>
          <w:left w:val="single" w:color="FFD865" w:themeColor="accent4" w:sz="4" w:space="0"/>
          <w:bottom w:val="none" w:color="auto" w:sz="0" w:space="0"/>
          <w:right w:val="none" w:color="auto" w:sz="0" w:space="0"/>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Pr/>
    </w:tblStylePr>
  </w:style>
  <w:style w:type="table" w:customStyle="1" w:styleId="GridTable7Colorful-Accent5">
    <w:name w:val="Grid Table 7 Colorful - Accent 5"/>
    <w:basedOn w:val="a1"/>
    <w:uiPriority w:val="99"/>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b/>
        <w:color w:val="254175" w:themeColor="accent5" w:themeShade="95"/>
        <w:sz w:val="22"/>
      </w:rPr>
      <w:tblPr/>
      <w:tcPr>
        <w:tcBorders>
          <w:top w:val="none" w:color="auto" w:sz="0" w:space="0"/>
          <w:left w:val="none" w:color="auto" w:sz="0" w:space="0"/>
          <w:bottom w:val="single" w:color="95AFDD" w:themeColor="accent5" w:sz="4" w:space="0"/>
          <w:right w:val="none" w:color="auto" w:sz="0" w:space="0"/>
        </w:tcBorders>
        <w:shd w:val="clear" w:color="FFFFFF" w:fill="FFFFFF" w:themeFill="light1"/>
      </w:tcPr>
    </w:tblStylePr>
    <w:tblStylePr w:type="lastRow">
      <w:rPr>
        <w:b/>
        <w:color w:val="254175" w:themeColor="accent5" w:themeShade="95"/>
        <w:sz w:val="22"/>
      </w:rPr>
      <w:tblPr/>
      <w:tcPr>
        <w:tcBorders>
          <w:top w:val="single" w:color="95AFDD"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254175" w:themeColor="accent5" w:themeShade="95"/>
        <w:sz w:val="22"/>
      </w:rPr>
      <w:tblPr/>
      <w:tcPr>
        <w:tcBorders>
          <w:top w:val="none" w:color="auto" w:sz="0" w:space="0"/>
          <w:left w:val="none" w:color="auto" w:sz="0" w:space="0"/>
          <w:bottom w:val="none" w:color="auto" w:sz="0" w:space="0"/>
          <w:right w:val="single" w:color="95AFDD" w:themeColor="accent5" w:sz="4" w:space="0"/>
        </w:tcBorders>
        <w:shd w:val="clear" w:color="FFFFFF" w:fill="auto"/>
      </w:tcPr>
    </w:tblStylePr>
    <w:tblStylePr w:type="lastCol">
      <w:rPr>
        <w:i/>
        <w:color w:val="254175" w:themeColor="accent5" w:themeShade="95"/>
        <w:sz w:val="22"/>
      </w:rPr>
      <w:tblPr/>
      <w:tcPr>
        <w:tcBorders>
          <w:top w:val="none" w:color="auto" w:sz="0" w:space="0"/>
          <w:left w:val="single" w:color="95AFDD" w:themeColor="accent5" w:sz="4" w:space="0"/>
          <w:bottom w:val="none" w:color="auto" w:sz="0" w:space="0"/>
          <w:right w:val="none" w:color="auto" w:sz="0" w:space="0"/>
        </w:tcBorders>
        <w:shd w:val="clear" w:color="FFFFFF" w:fill="auto"/>
      </w:tc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Pr/>
    </w:tblStylePr>
  </w:style>
  <w:style w:type="table" w:customStyle="1" w:styleId="GridTable7Colorful-Accent6">
    <w:name w:val="Grid Table 7 Colorful - Accent 6"/>
    <w:basedOn w:val="a1"/>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color w:val="416429" w:themeColor="accent6" w:themeShade="95"/>
        <w:sz w:val="22"/>
      </w:rPr>
      <w:tblPr/>
      <w:tcPr>
        <w:tcBorders>
          <w:top w:val="none" w:color="auto" w:sz="0" w:space="0"/>
          <w:left w:val="none" w:color="auto" w:sz="0" w:space="0"/>
          <w:bottom w:val="single" w:color="ADD394" w:themeColor="accent6" w:sz="4" w:space="0"/>
          <w:right w:val="none" w:color="auto" w:sz="0" w:space="0"/>
        </w:tcBorders>
        <w:shd w:val="clear" w:color="FFFFFF" w:fill="FFFFFF" w:themeFill="light1"/>
      </w:tcPr>
    </w:tblStylePr>
    <w:tblStylePr w:type="lastRow">
      <w:rPr>
        <w:b/>
        <w:color w:val="416429" w:themeColor="accent6" w:themeShade="95"/>
        <w:sz w:val="22"/>
      </w:rPr>
      <w:tblPr/>
      <w:tcPr>
        <w:tcBorders>
          <w:top w:val="single" w:color="ADD394"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416429" w:themeColor="accent6" w:themeShade="95"/>
        <w:sz w:val="22"/>
      </w:rPr>
      <w:tblPr/>
      <w:tcPr>
        <w:tcBorders>
          <w:top w:val="none" w:color="auto" w:sz="0" w:space="0"/>
          <w:left w:val="none" w:color="auto" w:sz="0" w:space="0"/>
          <w:bottom w:val="none" w:color="auto" w:sz="0" w:space="0"/>
          <w:right w:val="single" w:color="ADD394" w:themeColor="accent6" w:sz="4" w:space="0"/>
        </w:tcBorders>
        <w:shd w:val="clear" w:color="FFFFFF" w:fill="auto"/>
      </w:tcPr>
    </w:tblStylePr>
    <w:tblStylePr w:type="lastCol">
      <w:rPr>
        <w:i/>
        <w:color w:val="416429" w:themeColor="accent6" w:themeShade="95"/>
        <w:sz w:val="22"/>
      </w:rPr>
      <w:tblPr/>
      <w:tcPr>
        <w:tcBorders>
          <w:top w:val="none" w:color="auto" w:sz="0" w:space="0"/>
          <w:left w:val="single" w:color="ADD394" w:themeColor="accent6" w:sz="4" w:space="0"/>
          <w:bottom w:val="none" w:color="auto" w:sz="0" w:space="0"/>
          <w:right w:val="none" w:color="auto" w:sz="0" w:space="0"/>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5B9BD5" w:themeColor="accent1" w:sz="4" w:space="0"/>
          <w:right w:val="none" w:color="000000" w:sz="4" w:space="0"/>
        </w:tcBorders>
      </w:tcPr>
    </w:tblStylePr>
    <w:tblStylePr w:type="lastRow">
      <w:rPr>
        <w:b/>
        <w:color w:val="404040"/>
      </w:rPr>
      <w:tblPr/>
      <w:tcPr>
        <w:tcBorders>
          <w:top w:val="single" w:color="5B9BD5" w:themeColor="accen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ED7D31" w:themeColor="accent2" w:sz="4" w:space="0"/>
          <w:right w:val="none" w:color="000000" w:sz="4" w:space="0"/>
        </w:tcBorders>
      </w:tcPr>
    </w:tblStylePr>
    <w:tblStylePr w:type="lastRow">
      <w:rPr>
        <w:b/>
        <w:color w:val="404040"/>
      </w:rPr>
      <w:tblPr/>
      <w:tcPr>
        <w:tcBorders>
          <w:top w:val="single" w:color="ED7D31" w:themeColor="accent2"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A5A5A5" w:themeColor="accent3" w:sz="4" w:space="0"/>
          <w:right w:val="none" w:color="000000" w:sz="4" w:space="0"/>
        </w:tcBorders>
      </w:tcPr>
    </w:tblStylePr>
    <w:tblStylePr w:type="lastRow">
      <w:rPr>
        <w:b/>
        <w:color w:val="404040"/>
      </w:rPr>
      <w:tblPr/>
      <w:tcPr>
        <w:tcBorders>
          <w:top w:val="single" w:color="A5A5A5" w:themeColor="accent3"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FFC000" w:themeColor="accent4" w:sz="4" w:space="0"/>
          <w:right w:val="none" w:color="000000" w:sz="4" w:space="0"/>
        </w:tcBorders>
      </w:tcPr>
    </w:tblStylePr>
    <w:tblStylePr w:type="lastRow">
      <w:rPr>
        <w:b/>
        <w:color w:val="404040"/>
      </w:rPr>
      <w:tblPr/>
      <w:tcPr>
        <w:tcBorders>
          <w:top w:val="single" w:color="FFC000" w:themeColor="accent4"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4472C4" w:themeColor="accent5" w:sz="4" w:space="0"/>
          <w:right w:val="none" w:color="000000" w:sz="4" w:space="0"/>
        </w:tcBorders>
      </w:tcPr>
    </w:tblStylePr>
    <w:tblStylePr w:type="lastRow">
      <w:rPr>
        <w:b/>
        <w:color w:val="404040"/>
      </w:rPr>
      <w:tblPr/>
      <w:tcPr>
        <w:tcBorders>
          <w:top w:val="single" w:color="4472C4" w:themeColor="accent5"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70AD47" w:themeColor="accent6" w:sz="4" w:space="0"/>
          <w:right w:val="none" w:color="000000" w:sz="4" w:space="0"/>
        </w:tcBorders>
      </w:tcPr>
    </w:tblStylePr>
    <w:tblStylePr w:type="lastRow">
      <w:rPr>
        <w:b/>
        <w:color w:val="404040"/>
      </w:rPr>
      <w:tblPr/>
      <w:tcPr>
        <w:tcBorders>
          <w:top w:val="single" w:color="70AD47" w:themeColor="accent6"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color w:val="404040"/>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color w:val="404040"/>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b/>
        <w:color w:val="404040"/>
        <w:sz w:val="22"/>
      </w:rPr>
      <w:tblPr/>
      <w:tcPr>
        <w:tcBorders>
          <w:top w:val="single" w:color="A2C6E7" w:themeColor="accent1" w:sz="4" w:space="0"/>
          <w:left w:val="none" w:color="000000" w:sz="4" w:space="0"/>
          <w:bottom w:val="single" w:color="A2C6E7" w:themeColor="accent1" w:sz="4" w:space="0"/>
          <w:right w:val="none" w:color="000000" w:sz="4" w:space="0"/>
        </w:tcBorders>
      </w:tcPr>
    </w:tblStylePr>
    <w:tblStylePr w:type="lastRow">
      <w:rPr>
        <w:b/>
        <w:color w:val="404040"/>
        <w:sz w:val="22"/>
      </w:rPr>
      <w:tblPr/>
      <w:tcPr>
        <w:tcBorders>
          <w:top w:val="single" w:color="A2C6E7" w:themeColor="accent1" w:sz="4" w:space="0"/>
          <w:left w:val="none" w:color="000000" w:sz="4" w:space="0"/>
          <w:bottom w:val="single" w:color="A2C6E7" w:themeColor="accen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D5E5F4" w:fill="D5E5F4" w:themeFill="accent1" w:themeFillTint="40"/>
      </w:tcPr>
    </w:tblStylePr>
    <w:tblStylePr w:type="band1Horz">
      <w:rPr>
        <w:color w:val="404040"/>
        <w:sz w:val="22"/>
      </w:rPr>
      <w:tblPr/>
      <w:tcPr>
        <w:shd w:val="clear" w:color="D5E5F4"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b/>
        <w:color w:val="404040"/>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lastRow">
      <w:rPr>
        <w:b/>
        <w:color w:val="404040"/>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b/>
        <w:color w:val="404040"/>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lastRow">
      <w:rPr>
        <w:b/>
        <w:color w:val="404040"/>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firstRow">
      <w:rPr>
        <w:b/>
        <w:color w:val="404040"/>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lastRow">
      <w:rPr>
        <w:b/>
        <w:color w:val="404040"/>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b/>
        <w:color w:val="404040"/>
        <w:sz w:val="22"/>
      </w:rPr>
      <w:tblPr/>
      <w:tcPr>
        <w:tcBorders>
          <w:top w:val="single" w:color="95AFDD" w:themeColor="accent5" w:sz="4" w:space="0"/>
          <w:left w:val="none" w:color="000000" w:sz="4" w:space="0"/>
          <w:bottom w:val="single" w:color="95AFDD" w:themeColor="accent5" w:sz="4" w:space="0"/>
          <w:right w:val="none" w:color="000000" w:sz="4" w:space="0"/>
        </w:tcBorders>
      </w:tcPr>
    </w:tblStylePr>
    <w:tblStylePr w:type="lastRow">
      <w:rPr>
        <w:b/>
        <w:color w:val="404040"/>
        <w:sz w:val="22"/>
      </w:rPr>
      <w:tblPr/>
      <w:tcPr>
        <w:tcBorders>
          <w:top w:val="single" w:color="95AFDD" w:themeColor="accent5" w:sz="4" w:space="0"/>
          <w:left w:val="none" w:color="000000" w:sz="4" w:space="0"/>
          <w:bottom w:val="single" w:color="95AFDD" w:themeColor="accent5"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CFDBF0" w:fill="CFDBF0" w:themeFill="accent5" w:themeFillTint="40"/>
      </w:tcPr>
    </w:tblStylePr>
    <w:tblStylePr w:type="band1Horz">
      <w:rPr>
        <w:color w:val="404040"/>
        <w:sz w:val="22"/>
      </w:rPr>
      <w:tblPr/>
      <w:tcPr>
        <w:shd w:val="clear" w:color="CFDBF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b/>
        <w:color w:val="404040"/>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lastRow">
      <w:rPr>
        <w:b/>
        <w:color w:val="404040"/>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color w:val="FFFFFF"/>
        <w:sz w:val="22"/>
      </w:rPr>
      <w:tblPr/>
      <w:tcPr>
        <w:shd w:val="clear" w:color="000000"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000000" w:themeColor="text1" w:sz="4" w:space="0"/>
          <w:right w:val="single" w:color="000000" w:themeColor="text1" w:sz="4" w:space="0"/>
        </w:tcBorders>
      </w:tcPr>
    </w:tblStylePr>
    <w:tblStylePr w:type="band1Horz">
      <w:rPr>
        <w:color w:val="404040"/>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color w:val="FFFFFF"/>
        <w:sz w:val="22"/>
      </w:rPr>
      <w:tblPr/>
      <w:tcPr>
        <w:shd w:val="clear" w:color="5B9BD5" w:fill="5B9BD5"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5B9BD5" w:themeColor="accent1" w:sz="4" w:space="0"/>
          <w:right w:val="single" w:color="5B9BD5" w:themeColor="accent1" w:sz="4" w:space="0"/>
        </w:tcBorders>
      </w:tcPr>
    </w:tblStylePr>
    <w:tblStylePr w:type="band1Horz">
      <w:rPr>
        <w:color w:val="404040"/>
        <w:sz w:val="22"/>
      </w:rPr>
      <w:tblPr/>
      <w:tcPr>
        <w:tcBorders>
          <w:top w:val="single" w:color="5B9BD5" w:themeColor="accent1" w:sz="4" w:space="0"/>
          <w:bottom w:val="single" w:color="5B9BD5" w:themeColor="accent1" w:sz="4" w:space="0"/>
        </w:tcBorders>
      </w:tcPr>
    </w:tblStylePr>
  </w:style>
  <w:style w:type="table" w:customStyle="1" w:styleId="ListTable3-Accent2">
    <w:name w:val="List Table 3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firstRow">
      <w:rPr>
        <w:b/>
        <w:color w:val="FFFFFF"/>
        <w:sz w:val="22"/>
      </w:rPr>
      <w:tblPr/>
      <w:tcPr>
        <w:shd w:val="clear" w:color="F4B184" w:fill="F4B184"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F4B184" w:themeColor="accent2" w:sz="4" w:space="0"/>
          <w:right w:val="single" w:color="F4B184" w:themeColor="accent2" w:sz="4" w:space="0"/>
        </w:tcBorders>
      </w:tcPr>
    </w:tblStylePr>
    <w:tblStylePr w:type="band1Horz">
      <w:rPr>
        <w:color w:val="404040"/>
        <w:sz w:val="22"/>
      </w:rPr>
      <w:tblPr/>
      <w:tcPr>
        <w:tcBorders>
          <w:top w:val="single" w:color="F4B184" w:themeColor="accent2" w:sz="4" w:space="0"/>
          <w:bottom w:val="single" w:color="F4B184" w:themeColor="accent2" w:sz="4" w:space="0"/>
        </w:tcBorders>
      </w:tcPr>
    </w:tblStylePr>
  </w:style>
  <w:style w:type="table" w:customStyle="1" w:styleId="ListTable3-Accent3">
    <w:name w:val="List Table 3 - Accent 3"/>
    <w:basedOn w:val="a1"/>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b/>
        <w:color w:val="FFFFFF"/>
        <w:sz w:val="22"/>
      </w:rPr>
      <w:tblPr/>
      <w:tcPr>
        <w:shd w:val="clear" w:color="C9C9C9" w:fill="C9C9C9"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C9C9C9" w:themeColor="accent3" w:sz="4" w:space="0"/>
          <w:right w:val="single" w:color="C9C9C9" w:themeColor="accent3" w:sz="4" w:space="0"/>
        </w:tcBorders>
      </w:tcPr>
    </w:tblStylePr>
    <w:tblStylePr w:type="band1Horz">
      <w:rPr>
        <w:color w:val="404040"/>
        <w:sz w:val="22"/>
      </w:rPr>
      <w:tblPr/>
      <w:tcPr>
        <w:tcBorders>
          <w:top w:val="single" w:color="C9C9C9" w:themeColor="accent3" w:sz="4" w:space="0"/>
          <w:bottom w:val="single" w:color="C9C9C9" w:themeColor="accent3" w:sz="4" w:space="0"/>
        </w:tcBorders>
      </w:tcPr>
    </w:tblStylePr>
  </w:style>
  <w:style w:type="table" w:customStyle="1" w:styleId="ListTable3-Accent4">
    <w:name w:val="List Table 3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firstRow">
      <w:rPr>
        <w:b/>
        <w:color w:val="FFFFFF"/>
        <w:sz w:val="22"/>
      </w:rPr>
      <w:tblPr/>
      <w:tcPr>
        <w:shd w:val="clear" w:color="FFD865" w:fill="FFD865"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FFD865" w:themeColor="accent4" w:sz="4" w:space="0"/>
          <w:right w:val="single" w:color="FFD865" w:themeColor="accent4" w:sz="4" w:space="0"/>
        </w:tcBorders>
      </w:tcPr>
    </w:tblStylePr>
    <w:tblStylePr w:type="band1Horz">
      <w:rPr>
        <w:color w:val="404040"/>
        <w:sz w:val="22"/>
      </w:rPr>
      <w:tblPr/>
      <w:tcPr>
        <w:tcBorders>
          <w:top w:val="single" w:color="FFD865" w:themeColor="accent4" w:sz="4" w:space="0"/>
          <w:bottom w:val="single" w:color="FFD865" w:themeColor="accent4" w:sz="4" w:space="0"/>
        </w:tcBorders>
      </w:tcPr>
    </w:tblStylePr>
  </w:style>
  <w:style w:type="table" w:customStyle="1" w:styleId="ListTable3-Accent5">
    <w:name w:val="List Table 3 - Accent 5"/>
    <w:basedOn w:val="a1"/>
    <w:uiPriority w:val="99"/>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firstRow">
      <w:rPr>
        <w:b/>
        <w:color w:val="FFFFFF"/>
        <w:sz w:val="22"/>
      </w:rPr>
      <w:tblPr/>
      <w:tcPr>
        <w:shd w:val="clear" w:color="8DA9DB" w:fill="8DA9DB"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8DA9DB" w:themeColor="accent5" w:sz="4" w:space="0"/>
          <w:right w:val="single" w:color="8DA9DB" w:themeColor="accent5" w:sz="4" w:space="0"/>
        </w:tcBorders>
      </w:tcPr>
    </w:tblStylePr>
    <w:tblStylePr w:type="band1Horz">
      <w:rPr>
        <w:color w:val="404040"/>
        <w:sz w:val="22"/>
      </w:rPr>
      <w:tblPr/>
      <w:tcPr>
        <w:tcBorders>
          <w:top w:val="single" w:color="8DA9DB" w:themeColor="accent5" w:sz="4" w:space="0"/>
          <w:bottom w:val="single" w:color="8DA9DB" w:themeColor="accent5" w:sz="4" w:space="0"/>
        </w:tcBorders>
      </w:tcPr>
    </w:tblStylePr>
  </w:style>
  <w:style w:type="table" w:customStyle="1" w:styleId="ListTable3-Accent6">
    <w:name w:val="List Table 3 - Accent 6"/>
    <w:basedOn w:val="a1"/>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b/>
        <w:color w:val="FFFFFF"/>
        <w:sz w:val="22"/>
      </w:rPr>
      <w:tblPr/>
      <w:tcPr>
        <w:shd w:val="clear" w:color="A9D08E" w:fill="A9D08E"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A9D08E" w:themeColor="accent6" w:sz="4" w:space="0"/>
          <w:right w:val="single" w:color="A9D08E" w:themeColor="accent6" w:sz="4" w:space="0"/>
        </w:tcBorders>
      </w:tcPr>
    </w:tblStylePr>
    <w:tblStylePr w:type="band1Horz">
      <w:rPr>
        <w:color w:val="404040"/>
        <w:sz w:val="22"/>
      </w:rPr>
      <w:tblPr/>
      <w:tcPr>
        <w:tcBorders>
          <w:top w:val="single" w:color="A9D08E" w:themeColor="accent6" w:sz="4" w:space="0"/>
          <w:bottom w:val="single" w:color="A9D08E" w:themeColor="accent6" w:sz="4" w:space="0"/>
        </w:tcBorders>
      </w:tcPr>
    </w:tblStylePr>
  </w:style>
  <w:style w:type="table" w:customStyle="1" w:styleId="-410">
    <w:name w:val="Список-таблица 4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color w:val="FFFFFF"/>
        <w:sz w:val="22"/>
      </w:rPr>
      <w:tblPr/>
      <w:tcPr>
        <w:shd w:val="clear" w:color="000000"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b/>
        <w:color w:val="FFFFFF"/>
        <w:sz w:val="22"/>
      </w:rPr>
      <w:tblPr/>
      <w:tcPr>
        <w:shd w:val="clear" w:color="5B9BD5" w:fill="5B9BD5"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D5E5F4" w:fill="D5E5F4" w:themeFill="accent1" w:themeFillTint="40"/>
      </w:tcPr>
    </w:tblStylePr>
    <w:tblStylePr w:type="band1Horz">
      <w:rPr>
        <w:color w:val="404040"/>
        <w:sz w:val="22"/>
      </w:rPr>
      <w:tblPr/>
      <w:tcPr>
        <w:shd w:val="clear" w:color="D5E5F4"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b/>
        <w:color w:val="FFFFFF"/>
        <w:sz w:val="22"/>
      </w:rPr>
      <w:tblPr/>
      <w:tcPr>
        <w:shd w:val="clear" w:color="ED7D31" w:fill="ED7D31"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b/>
        <w:color w:val="FFFFFF"/>
        <w:sz w:val="22"/>
      </w:rPr>
      <w:tblPr/>
      <w:tcPr>
        <w:shd w:val="clear" w:color="A5A5A5" w:fill="A5A5A5"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firstRow">
      <w:rPr>
        <w:b/>
        <w:color w:val="FFFFFF"/>
        <w:sz w:val="22"/>
      </w:rPr>
      <w:tblPr/>
      <w:tcPr>
        <w:shd w:val="clear" w:color="FFC000" w:fill="FFC000"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b/>
        <w:color w:val="FFFFFF"/>
        <w:sz w:val="22"/>
      </w:rPr>
      <w:tblPr/>
      <w:tcPr>
        <w:shd w:val="clear" w:color="4472C4" w:fill="4472C4"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CFDBF0" w:fill="CFDBF0" w:themeFill="accent5" w:themeFillTint="40"/>
      </w:tcPr>
    </w:tblStylePr>
    <w:tblStylePr w:type="band1Horz">
      <w:rPr>
        <w:color w:val="404040"/>
        <w:sz w:val="22"/>
      </w:rPr>
      <w:tblPr/>
      <w:tcPr>
        <w:shd w:val="clear" w:color="CFDBF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b/>
        <w:color w:val="FFFFFF"/>
        <w:sz w:val="22"/>
      </w:rPr>
      <w:tblPr/>
      <w:tcPr>
        <w:shd w:val="clear" w:color="70AD47" w:fill="70AD47"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val="FFFFFF"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val="FFFFFF" w:themeColor="light1"/>
        <w:sz w:val="22"/>
      </w:rPr>
      <w:tblPr/>
    </w:tblStylePr>
    <w:tblStylePr w:type="firstCol">
      <w:rPr>
        <w:b/>
        <w:color w:val="FFFFFF"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b/>
        <w:color w:val="FFFFFF" w:themeColor="light1"/>
        <w:sz w:val="22"/>
      </w:rPr>
      <w:tblPr/>
      <w:tcPr>
        <w:tcBorders>
          <w:top w:val="single" w:color="5B9BD5" w:themeColor="accent1" w:sz="32" w:space="0"/>
          <w:bottom w:val="single" w:color="FFFFFF" w:themeColor="light1" w:sz="12" w:space="0"/>
        </w:tcBorders>
        <w:shd w:val="clear" w:color="5B9BD5" w:fill="5B9BD5" w:themeFill="accent1"/>
      </w:tcPr>
    </w:tblStylePr>
    <w:tblStylePr w:type="lastRow">
      <w:rPr>
        <w:b/>
        <w:color w:val="FFFFFF" w:themeColor="light1"/>
        <w:sz w:val="22"/>
      </w:rPr>
      <w:tblPr/>
    </w:tblStylePr>
    <w:tblStylePr w:type="firstCol">
      <w:rPr>
        <w:b/>
        <w:color w:val="FFFFFF" w:themeColor="light1"/>
        <w:sz w:val="22"/>
      </w:rPr>
      <w:tblPr/>
      <w:tcPr>
        <w:tcBorders>
          <w:left w:val="single" w:color="5B9BD5" w:themeColor="accent1" w:sz="32" w:space="0"/>
          <w:right w:val="single" w:color="FFFFFF" w:themeColor="light1" w:sz="4" w:space="0"/>
        </w:tcBorders>
      </w:tcPr>
    </w:tblStylePr>
    <w:tblStylePr w:type="lastCol">
      <w:tblPr/>
      <w:tcPr>
        <w:tcBorders>
          <w:left w:val="single" w:color="FFFFFF" w:themeColor="light1" w:sz="4" w:space="0"/>
          <w:right w:val="single" w:color="5B9BD5" w:themeColor="accent1" w:sz="32" w:space="0"/>
        </w:tcBorders>
      </w:tcPr>
    </w:tblStylePr>
    <w:tblStylePr w:type="band1Vert">
      <w:tblPr/>
      <w:tcPr>
        <w:tcBorders>
          <w:left w:val="single" w:color="FFFFFF" w:themeColor="light1" w:sz="4" w:space="0"/>
          <w:right w:val="single" w:color="FFFFFF" w:themeColor="light1" w:sz="4" w:space="0"/>
        </w:tcBorders>
        <w:shd w:val="clear" w:color="5B9BD5" w:fill="5B9BD5"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5B9BD5" w:fill="5B9BD5" w:themeFill="accent1"/>
      </w:tcPr>
    </w:tblStylePr>
    <w:tblStylePr w:type="band2Horz">
      <w:tblPr/>
      <w:tcPr>
        <w:tcBorders>
          <w:top w:val="single" w:color="FFFFFF" w:themeColor="light1" w:sz="4" w:space="0"/>
          <w:bottom w:val="single" w:color="FFFFFF" w:themeColor="light1" w:sz="4" w:space="0"/>
        </w:tcBorders>
        <w:shd w:val="clear" w:color="5B9BD5"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Pr>
    <w:tblStylePr w:type="firstRow">
      <w:rPr>
        <w:b/>
        <w:color w:val="FFFFFF" w:themeColor="light1"/>
        <w:sz w:val="22"/>
      </w:rPr>
      <w:tblPr/>
      <w:tcPr>
        <w:tcBorders>
          <w:top w:val="single" w:color="F4B184" w:themeColor="accent2" w:sz="32" w:space="0"/>
          <w:bottom w:val="single" w:color="FFFFFF" w:themeColor="light1" w:sz="12" w:space="0"/>
        </w:tcBorders>
        <w:shd w:val="clear" w:color="F4B184" w:fill="F4B184" w:themeFill="accent2" w:themeFillTint="97"/>
      </w:tcPr>
    </w:tblStylePr>
    <w:tblStylePr w:type="lastRow">
      <w:rPr>
        <w:b/>
        <w:color w:val="FFFFFF" w:themeColor="light1"/>
        <w:sz w:val="22"/>
      </w:rPr>
      <w:tblPr/>
    </w:tblStylePr>
    <w:tblStylePr w:type="firstCol">
      <w:rPr>
        <w:b/>
        <w:color w:val="FFFFFF" w:themeColor="light1"/>
        <w:sz w:val="22"/>
      </w:rPr>
      <w:tblPr/>
      <w:tcPr>
        <w:tcBorders>
          <w:left w:val="single" w:color="F4B184" w:themeColor="accent2" w:sz="32" w:space="0"/>
          <w:right w:val="single" w:color="FFFFFF" w:themeColor="light1" w:sz="4" w:space="0"/>
        </w:tcBorders>
      </w:tcPr>
    </w:tblStylePr>
    <w:tblStylePr w:type="lastCol">
      <w:tblPr/>
      <w:tcPr>
        <w:tcBorders>
          <w:left w:val="single" w:color="FFFFFF" w:themeColor="light1" w:sz="4" w:space="0"/>
          <w:right w:val="single" w:color="F4B184" w:themeColor="accent2" w:sz="32" w:space="0"/>
        </w:tcBorders>
      </w:tcPr>
    </w:tblStylePr>
    <w:tblStylePr w:type="band1Vert">
      <w:tblPr/>
      <w:tcPr>
        <w:tcBorders>
          <w:left w:val="single" w:color="FFFFFF" w:themeColor="light1" w:sz="4" w:space="0"/>
          <w:right w:val="single" w:color="FFFFFF" w:themeColor="light1" w:sz="4" w:space="0"/>
        </w:tcBorders>
        <w:shd w:val="clear" w:color="F4B184"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184" w:fill="F4B184" w:themeFill="accent2" w:themeFillTint="97"/>
      </w:tcPr>
    </w:tblStylePr>
    <w:tblStylePr w:type="band2Horz">
      <w:tblPr/>
      <w:tcPr>
        <w:tcBorders>
          <w:top w:val="single" w:color="FFFFFF" w:themeColor="light1" w:sz="4" w:space="0"/>
          <w:bottom w:val="single" w:color="FFFFFF" w:themeColor="light1" w:sz="4" w:space="0"/>
        </w:tcBorders>
        <w:shd w:val="clear" w:color="F4B184"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b/>
        <w:color w:val="FFFFFF" w:themeColor="light1"/>
        <w:sz w:val="22"/>
      </w:rPr>
      <w:tblPr/>
      <w:tcPr>
        <w:tcBorders>
          <w:top w:val="single" w:color="C9C9C9" w:themeColor="accent3" w:sz="32" w:space="0"/>
          <w:bottom w:val="single" w:color="FFFFFF" w:themeColor="light1" w:sz="12" w:space="0"/>
        </w:tcBorders>
        <w:shd w:val="clear" w:color="C9C9C9" w:fill="C9C9C9" w:themeFill="accent3" w:themeFillTint="98"/>
      </w:tcPr>
    </w:tblStylePr>
    <w:tblStylePr w:type="lastRow">
      <w:rPr>
        <w:b/>
        <w:color w:val="FFFFFF" w:themeColor="light1"/>
        <w:sz w:val="22"/>
      </w:rPr>
      <w:tblPr/>
    </w:tblStylePr>
    <w:tblStylePr w:type="firstCol">
      <w:rPr>
        <w:b/>
        <w:color w:val="FFFFFF" w:themeColor="light1"/>
        <w:sz w:val="22"/>
      </w:rPr>
      <w:tblPr/>
      <w:tcPr>
        <w:tcBorders>
          <w:left w:val="single" w:color="C9C9C9" w:themeColor="accent3" w:sz="32" w:space="0"/>
          <w:right w:val="single" w:color="FFFFFF" w:themeColor="light1" w:sz="4" w:space="0"/>
        </w:tcBorders>
      </w:tcPr>
    </w:tblStylePr>
    <w:tblStylePr w:type="lastCol">
      <w:tblPr/>
      <w:tcPr>
        <w:tcBorders>
          <w:left w:val="single" w:color="FFFFFF" w:themeColor="light1" w:sz="4" w:space="0"/>
          <w:right w:val="single" w:color="C9C9C9" w:themeColor="accent3" w:sz="32" w:space="0"/>
        </w:tcBorders>
      </w:tcPr>
    </w:tblStylePr>
    <w:tblStylePr w:type="band1Vert">
      <w:tblPr/>
      <w:tcPr>
        <w:tcBorders>
          <w:left w:val="single" w:color="FFFFFF" w:themeColor="light1" w:sz="4" w:space="0"/>
          <w:right w:val="single" w:color="FFFFFF" w:themeColor="light1" w:sz="4" w:space="0"/>
        </w:tcBorders>
        <w:shd w:val="clear" w:color="C9C9C9"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Pr>
    <w:tblStylePr w:type="firstRow">
      <w:rPr>
        <w:b/>
        <w:color w:val="FFFFFF" w:themeColor="light1"/>
        <w:sz w:val="22"/>
      </w:rPr>
      <w:tblPr/>
      <w:tcPr>
        <w:tcBorders>
          <w:top w:val="single" w:color="FFD865" w:themeColor="accent4" w:sz="32" w:space="0"/>
          <w:bottom w:val="single" w:color="FFFFFF" w:themeColor="light1" w:sz="12" w:space="0"/>
        </w:tcBorders>
        <w:shd w:val="clear" w:color="FFD865" w:fill="FFD865" w:themeFill="accent4" w:themeFillTint="9a"/>
      </w:tcPr>
    </w:tblStylePr>
    <w:tblStylePr w:type="lastRow">
      <w:rPr>
        <w:b/>
        <w:color w:val="FFFFFF" w:themeColor="light1"/>
        <w:sz w:val="22"/>
      </w:rPr>
      <w:tblPr/>
    </w:tblStylePr>
    <w:tblStylePr w:type="firstCol">
      <w:rPr>
        <w:b/>
        <w:color w:val="FFFFFF" w:themeColor="light1"/>
        <w:sz w:val="22"/>
      </w:rPr>
      <w:tblPr/>
      <w:tcPr>
        <w:tcBorders>
          <w:left w:val="single" w:color="FFD865" w:themeColor="accent4" w:sz="32" w:space="0"/>
          <w:right w:val="single" w:color="FFFFFF" w:themeColor="light1" w:sz="4" w:space="0"/>
        </w:tcBorders>
      </w:tcPr>
    </w:tblStylePr>
    <w:tblStylePr w:type="lastCol">
      <w:tblPr/>
      <w:tcPr>
        <w:tcBorders>
          <w:left w:val="single" w:color="FFFFFF" w:themeColor="light1" w:sz="4" w:space="0"/>
          <w:right w:val="single" w:color="FFD865" w:themeColor="accent4" w:sz="32" w:space="0"/>
        </w:tcBorders>
      </w:tcPr>
    </w:tblStylePr>
    <w:tblStylePr w:type="band1Vert">
      <w:tblPr/>
      <w:tcPr>
        <w:tcBorders>
          <w:left w:val="single" w:color="FFFFFF" w:themeColor="light1" w:sz="4" w:space="0"/>
          <w:right w:val="single" w:color="FFFFFF" w:themeColor="light1" w:sz="4" w:space="0"/>
        </w:tcBorders>
        <w:shd w:val="clear" w:color="FFD865"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5" w:fill="FFD865" w:themeFill="accent4" w:themeFillTint="9a"/>
      </w:tcPr>
    </w:tblStylePr>
    <w:tblStylePr w:type="band2Horz">
      <w:tblPr/>
      <w:tcPr>
        <w:tcBorders>
          <w:top w:val="single" w:color="FFFFFF" w:themeColor="light1" w:sz="4" w:space="0"/>
          <w:bottom w:val="single" w:color="FFFFFF" w:themeColor="light1" w:sz="4" w:space="0"/>
        </w:tcBorders>
        <w:shd w:val="clear" w:color="FFD865"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tblPr>
    <w:tblStylePr w:type="firstRow">
      <w:rPr>
        <w:b/>
        <w:color w:val="FFFFFF" w:themeColor="light1"/>
        <w:sz w:val="22"/>
      </w:rPr>
      <w:tblPr/>
      <w:tcPr>
        <w:tcBorders>
          <w:top w:val="single" w:color="8DA9DB" w:themeColor="accent5" w:sz="32" w:space="0"/>
          <w:bottom w:val="single" w:color="FFFFFF" w:themeColor="light1" w:sz="12" w:space="0"/>
        </w:tcBorders>
        <w:shd w:val="clear" w:color="8DA9DB" w:fill="8DA9DB" w:themeFill="accent5" w:themeFillTint="9a"/>
      </w:tcPr>
    </w:tblStylePr>
    <w:tblStylePr w:type="lastRow">
      <w:rPr>
        <w:b/>
        <w:color w:val="FFFFFF" w:themeColor="light1"/>
        <w:sz w:val="22"/>
      </w:rPr>
      <w:tblPr/>
    </w:tblStylePr>
    <w:tblStylePr w:type="firstCol">
      <w:rPr>
        <w:b/>
        <w:color w:val="FFFFFF" w:themeColor="light1"/>
        <w:sz w:val="22"/>
      </w:rPr>
      <w:tblPr/>
      <w:tcPr>
        <w:tcBorders>
          <w:left w:val="single" w:color="8DA9DB" w:themeColor="accent5" w:sz="32" w:space="0"/>
          <w:right w:val="single" w:color="FFFFFF" w:themeColor="light1" w:sz="4" w:space="0"/>
        </w:tcBorders>
      </w:tcPr>
    </w:tblStylePr>
    <w:tblStylePr w:type="lastCol">
      <w:tblPr/>
      <w:tcPr>
        <w:tcBorders>
          <w:left w:val="single" w:color="FFFFFF" w:themeColor="light1" w:sz="4" w:space="0"/>
          <w:right w:val="single" w:color="8DA9DB" w:themeColor="accent5" w:sz="32" w:space="0"/>
        </w:tcBorders>
      </w:tcPr>
    </w:tblStylePr>
    <w:tblStylePr w:type="band1Vert">
      <w:tblPr/>
      <w:tcPr>
        <w:tcBorders>
          <w:left w:val="single" w:color="FFFFFF" w:themeColor="light1" w:sz="4" w:space="0"/>
          <w:right w:val="single" w:color="FFFFFF" w:themeColor="light1" w:sz="4" w:space="0"/>
        </w:tcBorders>
        <w:shd w:val="clear" w:color="8DA9DB" w:fill="8DA9DB"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8DA9DB" w:fill="8DA9DB" w:themeFill="accent5" w:themeFillTint="9a"/>
      </w:tcPr>
    </w:tblStylePr>
    <w:tblStylePr w:type="band2Horz">
      <w:tblPr/>
      <w:tcPr>
        <w:tcBorders>
          <w:top w:val="single" w:color="FFFFFF" w:themeColor="light1" w:sz="4" w:space="0"/>
          <w:bottom w:val="single" w:color="FFFFFF" w:themeColor="light1" w:sz="4" w:space="0"/>
        </w:tcBorders>
        <w:shd w:val="clear" w:color="8DA9DB"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b/>
        <w:color w:val="FFFFFF" w:themeColor="light1"/>
        <w:sz w:val="22"/>
      </w:rPr>
      <w:tblPr/>
      <w:tcPr>
        <w:tcBorders>
          <w:top w:val="single" w:color="A9D08E" w:themeColor="accent6" w:sz="32" w:space="0"/>
          <w:bottom w:val="single" w:color="FFFFFF" w:themeColor="light1" w:sz="12" w:space="0"/>
        </w:tcBorders>
        <w:shd w:val="clear" w:color="A9D08E" w:fill="A9D08E" w:themeFill="accent6" w:themeFillTint="98"/>
      </w:tcPr>
    </w:tblStylePr>
    <w:tblStylePr w:type="lastRow">
      <w:rPr>
        <w:b/>
        <w:color w:val="FFFFFF" w:themeColor="light1"/>
        <w:sz w:val="22"/>
      </w:rPr>
      <w:tblPr/>
    </w:tblStylePr>
    <w:tblStylePr w:type="firstCol">
      <w:rPr>
        <w:b/>
        <w:color w:val="FFFFFF" w:themeColor="light1"/>
        <w:sz w:val="22"/>
      </w:rPr>
      <w:tblPr/>
      <w:tcPr>
        <w:tcBorders>
          <w:left w:val="single" w:color="A9D08E" w:themeColor="accent6" w:sz="32" w:space="0"/>
          <w:right w:val="single" w:color="FFFFFF" w:themeColor="light1" w:sz="4" w:space="0"/>
        </w:tcBorders>
      </w:tcPr>
    </w:tblStylePr>
    <w:tblStylePr w:type="lastCol">
      <w:tblPr/>
      <w:tcPr>
        <w:tcBorders>
          <w:left w:val="single" w:color="FFFFFF" w:themeColor="light1" w:sz="4" w:space="0"/>
          <w:right w:val="single" w:color="A9D08E" w:themeColor="accent6" w:sz="32" w:space="0"/>
        </w:tcBorders>
      </w:tcPr>
    </w:tblStylePr>
    <w:tblStylePr w:type="band1Vert">
      <w:tblPr/>
      <w:tcPr>
        <w:tcBorders>
          <w:left w:val="single" w:color="FFFFFF" w:themeColor="light1" w:sz="4" w:space="0"/>
          <w:right w:val="single" w:color="FFFFFF" w:themeColor="light1" w:sz="4" w:space="0"/>
        </w:tcBorders>
        <w:shd w:val="clear" w:color="A9D08E"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blPr/>
      <w:tcPr>
        <w:tcBorders>
          <w:bottom w:val="single" w:color="7F7F7F" w:themeColor="text1" w:sz="4" w:space="0"/>
        </w:tcBorders>
      </w:tcPr>
    </w:tblStylePr>
    <w:tblStylePr w:type="lastRow">
      <w:rPr>
        <w:b/>
        <w:color w:val="000000" w:themeColor="text1"/>
      </w:rPr>
      <w:tblPr/>
      <w:tcPr>
        <w:tcBorders>
          <w:top w:val="single" w:color="7F7F7F" w:themeColor="text1"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Pr/>
    </w:tblStylePr>
  </w:style>
  <w:style w:type="table" w:customStyle="1" w:styleId="ListTable6Colorful-Accent1">
    <w:name w:val="List Table 6 Colorful - Accent 1"/>
    <w:basedOn w:val="a1"/>
    <w:uiPriority w:val="99"/>
    <w:tblPr>
      <w:tblStyleRowBandSize w:val="1"/>
      <w:tblStyleColBandSize w:val="1"/>
      <w:tblBorders>
        <w:top w:val="single" w:color="5B9BD5" w:themeColor="accent1" w:sz="4" w:space="0"/>
        <w:bottom w:val="single" w:color="5B9BD5" w:themeColor="accent1" w:sz="4" w:space="0"/>
      </w:tblBorders>
    </w:tblPr>
    <w:tblStylePr w:type="firstRow">
      <w:rPr>
        <w:b/>
        <w:color w:val="245A8D" w:themeColor="accent1" w:themeShade="95"/>
      </w:rPr>
      <w:tblPr/>
      <w:tcPr>
        <w:tcBorders>
          <w:bottom w:val="single" w:color="5B9BD5" w:themeColor="accent1" w:sz="4" w:space="0"/>
        </w:tcBorders>
      </w:tcPr>
    </w:tblStylePr>
    <w:tblStylePr w:type="lastRow">
      <w:rPr>
        <w:b/>
        <w:color w:val="245A8D" w:themeColor="accent1" w:themeShade="95"/>
      </w:rPr>
      <w:tblPr/>
      <w:tcPr>
        <w:tcBorders>
          <w:top w:val="single" w:color="5B9BD5" w:themeColor="accent1" w:sz="4" w:space="0"/>
        </w:tcBorders>
      </w:tcPr>
    </w:tblStylePr>
    <w:tblStylePr w:type="firstCol">
      <w:rPr>
        <w:b/>
        <w:color w:val="245A8D" w:themeColor="accent1" w:themeShade="95"/>
      </w:rPr>
      <w:tblPr/>
    </w:tblStylePr>
    <w:tblStylePr w:type="lastCol">
      <w:rPr>
        <w:b/>
        <w:color w:val="245A8D" w:themeColor="accent1" w:themeShade="95"/>
      </w:rPr>
      <w:tbl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Pr/>
    </w:tblStylePr>
  </w:style>
  <w:style w:type="table" w:customStyle="1" w:styleId="ListTable6Colorful-Accent2">
    <w:name w:val="List Table 6 Colorful - Accent 2"/>
    <w:basedOn w:val="a1"/>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firstRow">
      <w:rPr>
        <w:b/>
        <w:color w:val="F4B184" w:themeColor="accent2" w:themeTint="97" w:themeShade="95"/>
      </w:rPr>
      <w:tblPr/>
      <w:tcPr>
        <w:tcBorders>
          <w:bottom w:val="single" w:color="F4B184" w:themeColor="accent2" w:sz="4" w:space="0"/>
        </w:tcBorders>
      </w:tcPr>
    </w:tblStylePr>
    <w:tblStylePr w:type="lastRow">
      <w:rPr>
        <w:b/>
        <w:color w:val="F4B184" w:themeColor="accent2" w:themeTint="97" w:themeShade="95"/>
      </w:rPr>
      <w:tblPr/>
      <w:tcPr>
        <w:tcBorders>
          <w:top w:val="single" w:color="F4B184" w:themeColor="accent2" w:sz="4" w:space="0"/>
        </w:tcBorders>
      </w:tcPr>
    </w:tblStylePr>
    <w:tblStylePr w:type="firstCol">
      <w:rPr>
        <w:b/>
        <w:color w:val="F4B184" w:themeColor="accent2" w:themeTint="97" w:themeShade="95"/>
      </w:rPr>
      <w:tblPr/>
    </w:tblStylePr>
    <w:tblStylePr w:type="lastCol">
      <w:rPr>
        <w:b/>
        <w:color w:val="F4B184" w:themeColor="accent2" w:themeTint="97" w:themeShade="95"/>
      </w:rPr>
      <w:tbl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Pr/>
    </w:tblStylePr>
  </w:style>
  <w:style w:type="table" w:customStyle="1" w:styleId="ListTable6Colorful-Accent3">
    <w:name w:val="List Table 6 Colorful - Accent 3"/>
    <w:basedOn w:val="a1"/>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firstRow">
      <w:rPr>
        <w:b/>
        <w:color w:val="C9C9C9" w:themeColor="accent3" w:themeTint="98" w:themeShade="95"/>
      </w:rPr>
      <w:tblPr/>
      <w:tcPr>
        <w:tcBorders>
          <w:bottom w:val="single" w:color="C9C9C9" w:themeColor="accent3" w:sz="4" w:space="0"/>
        </w:tcBorders>
      </w:tcPr>
    </w:tblStylePr>
    <w:tblStylePr w:type="lastRow">
      <w:rPr>
        <w:b/>
        <w:color w:val="C9C9C9" w:themeColor="accent3" w:themeTint="98" w:themeShade="95"/>
      </w:rPr>
      <w:tblPr/>
      <w:tcPr>
        <w:tcBorders>
          <w:top w:val="single" w:color="C9C9C9" w:themeColor="accent3" w:sz="4" w:space="0"/>
        </w:tcBorders>
      </w:tcPr>
    </w:tblStylePr>
    <w:tblStylePr w:type="firstCol">
      <w:rPr>
        <w:b/>
        <w:color w:val="C9C9C9" w:themeColor="accent3" w:themeTint="98" w:themeShade="95"/>
      </w:rPr>
      <w:tblPr/>
    </w:tblStylePr>
    <w:tblStylePr w:type="lastCol">
      <w:rPr>
        <w:b/>
        <w:color w:val="C9C9C9" w:themeColor="accent3" w:themeTint="98" w:themeShade="95"/>
      </w:rPr>
      <w:tbl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Pr/>
    </w:tblStylePr>
  </w:style>
  <w:style w:type="table" w:customStyle="1" w:styleId="ListTable6Colorful-Accent4">
    <w:name w:val="List Table 6 Colorful - Accent 4"/>
    <w:basedOn w:val="a1"/>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firstRow">
      <w:rPr>
        <w:b/>
        <w:color w:val="FFD865" w:themeColor="accent4" w:themeTint="9a" w:themeShade="95"/>
      </w:rPr>
      <w:tblPr/>
      <w:tcPr>
        <w:tcBorders>
          <w:bottom w:val="single" w:color="FFD865" w:themeColor="accent4" w:sz="4" w:space="0"/>
        </w:tcBorders>
      </w:tcPr>
    </w:tblStylePr>
    <w:tblStylePr w:type="lastRow">
      <w:rPr>
        <w:b/>
        <w:color w:val="FFD865" w:themeColor="accent4" w:themeTint="9a" w:themeShade="95"/>
      </w:rPr>
      <w:tblPr/>
      <w:tcPr>
        <w:tcBorders>
          <w:top w:val="single" w:color="FFD865" w:themeColor="accent4" w:sz="4" w:space="0"/>
        </w:tcBorders>
      </w:tcPr>
    </w:tblStylePr>
    <w:tblStylePr w:type="firstCol">
      <w:rPr>
        <w:b/>
        <w:color w:val="FFD865" w:themeColor="accent4" w:themeTint="9a" w:themeShade="95"/>
      </w:rPr>
      <w:tblPr/>
    </w:tblStylePr>
    <w:tblStylePr w:type="lastCol">
      <w:rPr>
        <w:b/>
        <w:color w:val="FFD865" w:themeColor="accent4" w:themeTint="9a" w:themeShade="95"/>
      </w:rPr>
      <w:tbl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Pr/>
    </w:tblStylePr>
  </w:style>
  <w:style w:type="table" w:customStyle="1" w:styleId="ListTable6Colorful-Accent5">
    <w:name w:val="List Table 6 Colorful - Accent 5"/>
    <w:basedOn w:val="a1"/>
    <w:uiPriority w:val="99"/>
    <w:tblPr>
      <w:tblStyleRowBandSize w:val="1"/>
      <w:tblStyleColBandSize w:val="1"/>
      <w:tblBorders>
        <w:top w:val="single" w:color="8DA9DB" w:themeColor="accent5" w:themeTint="9a" w:sz="4" w:space="0"/>
        <w:bottom w:val="single" w:color="8DA9DB" w:themeColor="accent5" w:themeTint="9a" w:sz="4" w:space="0"/>
      </w:tblBorders>
    </w:tblPr>
    <w:tblStylePr w:type="firstRow">
      <w:rPr>
        <w:b/>
        <w:color w:val="8DA9DB" w:themeColor="accent5" w:themeTint="9a" w:themeShade="95"/>
      </w:rPr>
      <w:tblPr/>
      <w:tcPr>
        <w:tcBorders>
          <w:bottom w:val="single" w:color="8DA9DB" w:themeColor="accent5" w:sz="4" w:space="0"/>
        </w:tcBorders>
      </w:tcPr>
    </w:tblStylePr>
    <w:tblStylePr w:type="lastRow">
      <w:rPr>
        <w:b/>
        <w:color w:val="8DA9DB" w:themeColor="accent5" w:themeTint="9a" w:themeShade="95"/>
      </w:rPr>
      <w:tblPr/>
      <w:tcPr>
        <w:tcBorders>
          <w:top w:val="single" w:color="8DA9DB" w:themeColor="accent5" w:sz="4" w:space="0"/>
        </w:tcBorders>
      </w:tcPr>
    </w:tblStylePr>
    <w:tblStylePr w:type="firstCol">
      <w:rPr>
        <w:b/>
        <w:color w:val="8DA9DB" w:themeColor="accent5" w:themeTint="9a" w:themeShade="95"/>
      </w:rPr>
      <w:tblPr/>
    </w:tblStylePr>
    <w:tblStylePr w:type="lastCol">
      <w:rPr>
        <w:b/>
        <w:color w:val="8DA9DB" w:themeColor="accent5" w:themeTint="9a" w:themeShade="95"/>
      </w:rPr>
      <w:tbl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Pr/>
    </w:tblStylePr>
  </w:style>
  <w:style w:type="table" w:customStyle="1" w:styleId="ListTable6Colorful-Accent6">
    <w:name w:val="List Table 6 Colorful - Accent 6"/>
    <w:basedOn w:val="a1"/>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firstRow">
      <w:rPr>
        <w:b/>
        <w:color w:val="A9D08E" w:themeColor="accent6" w:themeTint="98" w:themeShade="95"/>
      </w:rPr>
      <w:tblPr/>
      <w:tcPr>
        <w:tcBorders>
          <w:bottom w:val="single" w:color="A9D08E" w:themeColor="accent6" w:sz="4" w:space="0"/>
        </w:tcBorders>
      </w:tcPr>
    </w:tblStylePr>
    <w:tblStylePr w:type="lastRow">
      <w:rPr>
        <w:b/>
        <w:color w:val="A9D08E" w:themeColor="accent6" w:themeTint="98" w:themeShade="95"/>
      </w:rPr>
      <w:tblPr/>
      <w:tcPr>
        <w:tcBorders>
          <w:top w:val="single" w:color="A9D08E" w:themeColor="accent6" w:sz="4" w:space="0"/>
        </w:tcBorders>
      </w:tcPr>
    </w:tblStylePr>
    <w:tblStylePr w:type="firstCol">
      <w:rPr>
        <w:b/>
        <w:color w:val="A9D08E" w:themeColor="accent6" w:themeTint="98" w:themeShade="95"/>
      </w:rPr>
      <w:tblPr/>
    </w:tblStylePr>
    <w:tblStylePr w:type="lastCol">
      <w:rPr>
        <w:b/>
        <w:color w:val="A9D08E" w:themeColor="accent6" w:themeTint="98" w:themeShade="95"/>
      </w:rPr>
      <w:tbl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Pr/>
    </w:tblStylePr>
  </w:style>
  <w:style w:type="table" w:customStyle="1" w:styleId="-710">
    <w:name w:val="Список-таблица 7 цветная1"/>
    <w:basedOn w:val="a1"/>
    <w:uiPriority w:val="99"/>
    <w:tblPr>
      <w:tblStyleRowBandSize w:val="1"/>
      <w:tblStyleColBandSize w:val="1"/>
      <w:tblBorders>
        <w:right w:val="single" w:color="7F7F7F" w:themeColor="text1" w:themeTint="80" w:sz="4" w:space="0"/>
      </w:tblBorders>
    </w:tblPr>
    <w:tblStylePr w:type="firstRow">
      <w:rPr>
        <w:i/>
        <w:color w:val="7F7F7F"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i/>
        <w:color w:val="7F7F7F"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val="7F7F7F"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Pr/>
    </w:tblStylePr>
  </w:style>
  <w:style w:type="table" w:customStyle="1" w:styleId="ListTable7Colorful-Accent1">
    <w:name w:val="List Table 7 Colorful - Accent 1"/>
    <w:basedOn w:val="a1"/>
    <w:uiPriority w:val="99"/>
    <w:tblPr>
      <w:tblStyleRowBandSize w:val="1"/>
      <w:tblStyleColBandSize w:val="1"/>
      <w:tblBorders>
        <w:right w:val="single" w:color="5B9BD5" w:themeColor="accent1" w:sz="4" w:space="0"/>
      </w:tblBorders>
    </w:tblPr>
    <w:tblStylePr w:type="firstRow">
      <w:rPr>
        <w:i/>
        <w:color w:val="245A8D" w:themeColor="accent1" w:themeShade="95"/>
        <w:sz w:val="22"/>
      </w:rPr>
      <w:tblPr/>
      <w:tcPr>
        <w:tcBorders>
          <w:top w:val="none" w:color="auto" w:sz="0" w:space="0"/>
          <w:left w:val="none" w:color="auto" w:sz="0" w:space="0"/>
          <w:bottom w:val="single" w:color="5B9BD5" w:themeColor="accent1" w:sz="4" w:space="0"/>
          <w:right w:val="none" w:color="auto" w:sz="0" w:space="0"/>
        </w:tcBorders>
        <w:shd w:val="clear" w:color="FFFFFF" w:fill="FFFFFF" w:themeFill="light1"/>
      </w:tcPr>
    </w:tblStylePr>
    <w:tblStylePr w:type="lastRow">
      <w:rPr>
        <w:i/>
        <w:color w:val="245A8D" w:themeColor="accent1" w:themeShade="95"/>
        <w:sz w:val="22"/>
      </w:rPr>
      <w:tblPr/>
      <w:tcPr>
        <w:tcBorders>
          <w:top w:val="single" w:color="5B9BD5"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245A8D" w:themeColor="accent1" w:themeShade="95"/>
        <w:sz w:val="22"/>
      </w:rPr>
      <w:tblPr/>
      <w:tcPr>
        <w:tcBorders>
          <w:top w:val="none" w:color="auto" w:sz="0" w:space="0"/>
          <w:left w:val="none" w:color="auto" w:sz="0" w:space="0"/>
          <w:bottom w:val="none" w:color="auto" w:sz="0" w:space="0"/>
          <w:right w:val="single" w:color="5B9BD5" w:themeColor="accent1" w:sz="4" w:space="0"/>
        </w:tcBorders>
        <w:shd w:val="clear" w:color="FFFFFF" w:fill="auto"/>
      </w:tcPr>
    </w:tblStylePr>
    <w:tblStylePr w:type="lastCol">
      <w:rPr>
        <w:i/>
        <w:color w:val="245A8D" w:themeColor="accent1" w:themeShade="95"/>
        <w:sz w:val="22"/>
      </w:rPr>
      <w:tblPr/>
      <w:tcPr>
        <w:tcBorders>
          <w:top w:val="none" w:color="auto" w:sz="0" w:space="0"/>
          <w:left w:val="single" w:color="5B9BD5" w:themeColor="accent1" w:sz="4" w:space="0"/>
          <w:bottom w:val="none" w:color="auto" w:sz="0" w:space="0"/>
          <w:right w:val="none" w:color="auto" w:sz="0" w:space="0"/>
        </w:tcBorders>
        <w:shd w:val="clear" w:color="FFFFFF" w:fill="auto"/>
      </w:tc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Pr/>
    </w:tblStylePr>
  </w:style>
  <w:style w:type="table" w:customStyle="1" w:styleId="ListTable7Colorful-Accent2">
    <w:name w:val="List Table 7 Colorful - Accent 2"/>
    <w:basedOn w:val="a1"/>
    <w:uiPriority w:val="99"/>
    <w:tblPr>
      <w:tblStyleRowBandSize w:val="1"/>
      <w:tblStyleColBandSize w:val="1"/>
      <w:tblBorders>
        <w:right w:val="single" w:color="F4B184" w:themeColor="accent2" w:themeTint="97" w:sz="4" w:space="0"/>
      </w:tblBorders>
    </w:tblPr>
    <w:tblStylePr w:type="firstRow">
      <w:rPr>
        <w:i/>
        <w:color w:val="F4B184" w:themeColor="accent2" w:themeTint="97" w:themeShade="95"/>
        <w:sz w:val="22"/>
      </w:rPr>
      <w:tblPr/>
      <w:tcPr>
        <w:tcBorders>
          <w:top w:val="none" w:color="auto" w:sz="0" w:space="0"/>
          <w:left w:val="none" w:color="auto" w:sz="0" w:space="0"/>
          <w:bottom w:val="single" w:color="F4B184" w:themeColor="accent2" w:sz="4" w:space="0"/>
          <w:right w:val="none" w:color="auto" w:sz="0" w:space="0"/>
        </w:tcBorders>
        <w:shd w:val="clear" w:color="FFFFFF" w:fill="FFFFFF" w:themeFill="light1"/>
      </w:tcPr>
    </w:tblStylePr>
    <w:tblStylePr w:type="lastRow">
      <w:rPr>
        <w:i/>
        <w:color w:val="F4B184" w:themeColor="accent2" w:themeTint="97" w:themeShade="95"/>
        <w:sz w:val="22"/>
      </w:rPr>
      <w:tblPr/>
      <w:tcPr>
        <w:tcBorders>
          <w:top w:val="single" w:color="F4B184"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4B184" w:themeColor="accent2" w:themeTint="97" w:themeShade="95"/>
        <w:sz w:val="22"/>
      </w:rPr>
      <w:tblPr/>
      <w:tcPr>
        <w:tcBorders>
          <w:top w:val="none" w:color="auto" w:sz="0" w:space="0"/>
          <w:left w:val="none" w:color="auto" w:sz="0" w:space="0"/>
          <w:bottom w:val="none" w:color="auto" w:sz="0" w:space="0"/>
          <w:right w:val="single" w:color="F4B184" w:themeColor="accent2" w:sz="4" w:space="0"/>
        </w:tcBorders>
        <w:shd w:val="clear" w:color="FFFFFF" w:fill="auto"/>
      </w:tcPr>
    </w:tblStylePr>
    <w:tblStylePr w:type="lastCol">
      <w:rPr>
        <w:i/>
        <w:color w:val="F4B184" w:themeColor="accent2" w:themeTint="97" w:themeShade="95"/>
        <w:sz w:val="22"/>
      </w:rPr>
      <w:tblPr/>
      <w:tcPr>
        <w:tcBorders>
          <w:top w:val="none" w:color="auto" w:sz="0" w:space="0"/>
          <w:left w:val="single" w:color="F4B184" w:themeColor="accent2" w:sz="4" w:space="0"/>
          <w:bottom w:val="none" w:color="auto" w:sz="0" w:space="0"/>
          <w:right w:val="none" w:color="auto" w:sz="0" w:space="0"/>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Pr/>
    </w:tblStylePr>
  </w:style>
  <w:style w:type="table" w:customStyle="1" w:styleId="ListTable7Colorful-Accent3">
    <w:name w:val="List Table 7 Colorful - Accent 3"/>
    <w:basedOn w:val="a1"/>
    <w:uiPriority w:val="99"/>
    <w:tblPr>
      <w:tblStyleRowBandSize w:val="1"/>
      <w:tblStyleColBandSize w:val="1"/>
      <w:tblBorders>
        <w:right w:val="single" w:color="C9C9C9" w:themeColor="accent3" w:themeTint="98" w:sz="4" w:space="0"/>
      </w:tblBorders>
    </w:tblPr>
    <w:tblStylePr w:type="firstRow">
      <w:rPr>
        <w:i/>
        <w:color w:val="C9C9C9" w:themeColor="accent3" w:themeTint="98" w:themeShade="95"/>
        <w:sz w:val="22"/>
      </w:rPr>
      <w:tblPr/>
      <w:tcPr>
        <w:tcBorders>
          <w:top w:val="none" w:color="auto" w:sz="0" w:space="0"/>
          <w:left w:val="none" w:color="auto" w:sz="0" w:space="0"/>
          <w:bottom w:val="single" w:color="C9C9C9" w:themeColor="accent3" w:sz="4" w:space="0"/>
          <w:right w:val="none" w:color="auto" w:sz="0" w:space="0"/>
        </w:tcBorders>
        <w:shd w:val="clear" w:color="FFFFFF" w:fill="FFFFFF" w:themeFill="light1"/>
      </w:tcPr>
    </w:tblStylePr>
    <w:tblStylePr w:type="lastRow">
      <w:rPr>
        <w:i/>
        <w:color w:val="C9C9C9" w:themeColor="accent3" w:themeTint="98" w:themeShade="95"/>
        <w:sz w:val="22"/>
      </w:rPr>
      <w:tblPr/>
      <w:tcPr>
        <w:tcBorders>
          <w:top w:val="single" w:color="C9C9C9"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C9C9C9" w:themeColor="accent3" w:themeTint="98" w:themeShade="95"/>
        <w:sz w:val="22"/>
      </w:rPr>
      <w:tblPr/>
      <w:tcPr>
        <w:tcBorders>
          <w:top w:val="none" w:color="auto" w:sz="0" w:space="0"/>
          <w:left w:val="none" w:color="auto" w:sz="0" w:space="0"/>
          <w:bottom w:val="none" w:color="auto" w:sz="0" w:space="0"/>
          <w:right w:val="single" w:color="C9C9C9" w:themeColor="accent3" w:sz="4" w:space="0"/>
        </w:tcBorders>
        <w:shd w:val="clear" w:color="FFFFFF" w:fill="auto"/>
      </w:tcPr>
    </w:tblStylePr>
    <w:tblStylePr w:type="lastCol">
      <w:rPr>
        <w:i/>
        <w:color w:val="C9C9C9" w:themeColor="accent3" w:themeTint="98" w:themeShade="95"/>
        <w:sz w:val="22"/>
      </w:rPr>
      <w:tblPr/>
      <w:tcPr>
        <w:tcBorders>
          <w:top w:val="none" w:color="auto" w:sz="0" w:space="0"/>
          <w:left w:val="single" w:color="C9C9C9" w:themeColor="accent3" w:sz="4" w:space="0"/>
          <w:bottom w:val="none" w:color="auto" w:sz="0" w:space="0"/>
          <w:right w:val="none" w:color="auto" w:sz="0" w:space="0"/>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Pr/>
    </w:tblStylePr>
  </w:style>
  <w:style w:type="table" w:customStyle="1" w:styleId="ListTable7Colorful-Accent4">
    <w:name w:val="List Table 7 Colorful - Accent 4"/>
    <w:basedOn w:val="a1"/>
    <w:uiPriority w:val="99"/>
    <w:tblPr>
      <w:tblStyleRowBandSize w:val="1"/>
      <w:tblStyleColBandSize w:val="1"/>
      <w:tblBorders>
        <w:right w:val="single" w:color="FFD865" w:themeColor="accent4" w:themeTint="9a" w:sz="4" w:space="0"/>
      </w:tblBorders>
    </w:tblPr>
    <w:tblStylePr w:type="firstRow">
      <w:rPr>
        <w:i/>
        <w:color w:val="FFD865" w:themeColor="accent4" w:themeTint="9a" w:themeShade="95"/>
        <w:sz w:val="22"/>
      </w:rPr>
      <w:tblPr/>
      <w:tcPr>
        <w:tcBorders>
          <w:top w:val="none" w:color="auto" w:sz="0" w:space="0"/>
          <w:left w:val="none" w:color="auto" w:sz="0" w:space="0"/>
          <w:bottom w:val="single" w:color="FFD865" w:themeColor="accent4" w:sz="4" w:space="0"/>
          <w:right w:val="none" w:color="auto" w:sz="0" w:space="0"/>
        </w:tcBorders>
        <w:shd w:val="clear" w:color="FFFFFF" w:fill="FFFFFF" w:themeFill="light1"/>
      </w:tcPr>
    </w:tblStylePr>
    <w:tblStylePr w:type="lastRow">
      <w:rPr>
        <w:i/>
        <w:color w:val="FFD865" w:themeColor="accent4" w:themeTint="9a" w:themeShade="95"/>
        <w:sz w:val="22"/>
      </w:rPr>
      <w:tblPr/>
      <w:tcPr>
        <w:tcBorders>
          <w:top w:val="single" w:color="FFD865"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FD865" w:themeColor="accent4" w:themeTint="9a" w:themeShade="95"/>
        <w:sz w:val="22"/>
      </w:rPr>
      <w:tblPr/>
      <w:tcPr>
        <w:tcBorders>
          <w:top w:val="none" w:color="auto" w:sz="0" w:space="0"/>
          <w:left w:val="none" w:color="auto" w:sz="0" w:space="0"/>
          <w:bottom w:val="none" w:color="auto" w:sz="0" w:space="0"/>
          <w:right w:val="single" w:color="FFD865" w:themeColor="accent4" w:sz="4" w:space="0"/>
        </w:tcBorders>
        <w:shd w:val="clear" w:color="FFFFFF" w:fill="auto"/>
      </w:tcPr>
    </w:tblStylePr>
    <w:tblStylePr w:type="lastCol">
      <w:rPr>
        <w:i/>
        <w:color w:val="FFD865" w:themeColor="accent4" w:themeTint="9a" w:themeShade="95"/>
        <w:sz w:val="22"/>
      </w:rPr>
      <w:tblPr/>
      <w:tcPr>
        <w:tcBorders>
          <w:top w:val="none" w:color="auto" w:sz="0" w:space="0"/>
          <w:left w:val="single" w:color="FFD865" w:themeColor="accent4" w:sz="4" w:space="0"/>
          <w:bottom w:val="none" w:color="auto" w:sz="0" w:space="0"/>
          <w:right w:val="none" w:color="auto" w:sz="0" w:space="0"/>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Pr/>
    </w:tblStylePr>
  </w:style>
  <w:style w:type="table" w:customStyle="1" w:styleId="ListTable7Colorful-Accent5">
    <w:name w:val="List Table 7 Colorful - Accent 5"/>
    <w:basedOn w:val="a1"/>
    <w:uiPriority w:val="99"/>
    <w:tblPr>
      <w:tblStyleRowBandSize w:val="1"/>
      <w:tblStyleColBandSize w:val="1"/>
      <w:tblBorders>
        <w:right w:val="single" w:color="8DA9DB" w:themeColor="accent5" w:themeTint="9a" w:sz="4" w:space="0"/>
      </w:tblBorders>
    </w:tblPr>
    <w:tblStylePr w:type="firstRow">
      <w:rPr>
        <w:i/>
        <w:color w:val="8DA9DB" w:themeColor="accent5" w:themeTint="9a" w:themeShade="95"/>
        <w:sz w:val="22"/>
      </w:rPr>
      <w:tblPr/>
      <w:tcPr>
        <w:tcBorders>
          <w:top w:val="none" w:color="auto" w:sz="0" w:space="0"/>
          <w:left w:val="none" w:color="auto" w:sz="0" w:space="0"/>
          <w:bottom w:val="single" w:color="8DA9DB" w:themeColor="accent5" w:sz="4" w:space="0"/>
          <w:right w:val="none" w:color="auto" w:sz="0" w:space="0"/>
        </w:tcBorders>
        <w:shd w:val="clear" w:color="FFFFFF" w:fill="FFFFFF" w:themeFill="light1"/>
      </w:tcPr>
    </w:tblStylePr>
    <w:tblStylePr w:type="lastRow">
      <w:rPr>
        <w:i/>
        <w:color w:val="8DA9DB" w:themeColor="accent5" w:themeTint="9a" w:themeShade="95"/>
        <w:sz w:val="22"/>
      </w:rPr>
      <w:tblPr/>
      <w:tcPr>
        <w:tcBorders>
          <w:top w:val="single" w:color="8DA9DB"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8DA9DB" w:themeColor="accent5" w:themeTint="9a" w:themeShade="95"/>
        <w:sz w:val="22"/>
      </w:rPr>
      <w:tblPr/>
      <w:tcPr>
        <w:tcBorders>
          <w:top w:val="none" w:color="auto" w:sz="0" w:space="0"/>
          <w:left w:val="none" w:color="auto" w:sz="0" w:space="0"/>
          <w:bottom w:val="none" w:color="auto" w:sz="0" w:space="0"/>
          <w:right w:val="single" w:color="8DA9DB" w:themeColor="accent5" w:sz="4" w:space="0"/>
        </w:tcBorders>
        <w:shd w:val="clear" w:color="FFFFFF" w:fill="auto"/>
      </w:tcPr>
    </w:tblStylePr>
    <w:tblStylePr w:type="lastCol">
      <w:rPr>
        <w:i/>
        <w:color w:val="8DA9DB" w:themeColor="accent5" w:themeTint="9a" w:themeShade="95"/>
        <w:sz w:val="22"/>
      </w:rPr>
      <w:tblPr/>
      <w:tcPr>
        <w:tcBorders>
          <w:top w:val="none" w:color="auto" w:sz="0" w:space="0"/>
          <w:left w:val="single" w:color="8DA9DB" w:themeColor="accent5" w:sz="4" w:space="0"/>
          <w:bottom w:val="none" w:color="auto" w:sz="0" w:space="0"/>
          <w:right w:val="none" w:color="auto" w:sz="0" w:space="0"/>
        </w:tcBorders>
        <w:shd w:val="clear" w:color="FFFFFF" w:fill="auto"/>
      </w:tc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Pr/>
    </w:tblStylePr>
  </w:style>
  <w:style w:type="table" w:customStyle="1" w:styleId="ListTable7Colorful-Accent6">
    <w:name w:val="List Table 7 Colorful - Accent 6"/>
    <w:basedOn w:val="a1"/>
    <w:uiPriority w:val="99"/>
    <w:tblPr>
      <w:tblStyleRowBandSize w:val="1"/>
      <w:tblStyleColBandSize w:val="1"/>
      <w:tblBorders>
        <w:right w:val="single" w:color="A9D08E" w:themeColor="accent6" w:themeTint="98" w:sz="4" w:space="0"/>
      </w:tblBorders>
    </w:tblPr>
    <w:tblStylePr w:type="firstRow">
      <w:rPr>
        <w:i/>
        <w:color w:val="A9D08E" w:themeColor="accent6" w:themeTint="98" w:themeShade="95"/>
        <w:sz w:val="22"/>
      </w:rPr>
      <w:tblPr/>
      <w:tcPr>
        <w:tcBorders>
          <w:top w:val="none" w:color="auto" w:sz="0" w:space="0"/>
          <w:left w:val="none" w:color="auto" w:sz="0" w:space="0"/>
          <w:bottom w:val="single" w:color="A9D08E" w:themeColor="accent6" w:sz="4" w:space="0"/>
          <w:right w:val="none" w:color="auto" w:sz="0" w:space="0"/>
        </w:tcBorders>
        <w:shd w:val="clear" w:color="FFFFFF" w:fill="FFFFFF" w:themeFill="light1"/>
      </w:tcPr>
    </w:tblStylePr>
    <w:tblStylePr w:type="lastRow">
      <w:rPr>
        <w:i/>
        <w:color w:val="A9D08E" w:themeColor="accent6" w:themeTint="98" w:themeShade="95"/>
        <w:sz w:val="22"/>
      </w:rPr>
      <w:tblPr/>
      <w:tcPr>
        <w:tcBorders>
          <w:top w:val="single" w:color="A9D08E"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9D08E" w:themeColor="accent6" w:themeTint="98" w:themeShade="95"/>
        <w:sz w:val="22"/>
      </w:rPr>
      <w:tblPr/>
      <w:tcPr>
        <w:tcBorders>
          <w:top w:val="none" w:color="auto" w:sz="0" w:space="0"/>
          <w:left w:val="none" w:color="auto" w:sz="0" w:space="0"/>
          <w:bottom w:val="none" w:color="auto" w:sz="0" w:space="0"/>
          <w:right w:val="single" w:color="A9D08E" w:themeColor="accent6" w:sz="4" w:space="0"/>
        </w:tcBorders>
        <w:shd w:val="clear" w:color="FFFFFF" w:fill="auto"/>
      </w:tcPr>
    </w:tblStylePr>
    <w:tblStylePr w:type="lastCol">
      <w:rPr>
        <w:i/>
        <w:color w:val="A9D08E" w:themeColor="accent6" w:themeTint="98" w:themeShade="95"/>
        <w:sz w:val="22"/>
      </w:rPr>
      <w:tblPr/>
      <w:tcPr>
        <w:tcBorders>
          <w:top w:val="none" w:color="auto" w:sz="0" w:space="0"/>
          <w:left w:val="single" w:color="A9D08E" w:themeColor="accent6" w:sz="4" w:space="0"/>
          <w:bottom w:val="none" w:color="auto" w:sz="0" w:space="0"/>
          <w:right w:val="none" w:color="auto" w:sz="0" w:space="0"/>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Pr/>
    </w:tblStylePr>
  </w:style>
  <w:style w:type="table" w:customStyle="1" w:styleId="Lined-Accent">
    <w:name w:val="Lined - Accent"/>
    <w:basedOn w:val="a1"/>
    <w:uiPriority w:val="99"/>
    <w:rPr>
      <w:color w:val="404040"/>
    </w:rPr>
    <w:tblPr>
      <w:tblStyleRowBandSize w:val="1"/>
      <w:tblStyleColBandSize w:val="1"/>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Pr/>
    </w:tblStylePr>
    <w:tblStylePr w:type="band2Vert">
      <w:rPr>
        <w:color w:val="404040"/>
        <w:sz w:val="22"/>
      </w:rPr>
      <w:tblPr/>
      <w:tcPr>
        <w:shd w:val="clear" w:color="F2F2F2" w:fill="F2F2F2" w:themeFill="text1" w:themeFillTint="d"/>
      </w:tcPr>
    </w:tblStylePr>
    <w:tblStylePr w:type="band1Horz">
      <w:rPr>
        <w:color w:val="404040"/>
        <w:sz w:val="22"/>
      </w:rPr>
      <w:tblPr/>
    </w:tblStylePr>
    <w:tblStylePr w:type="band2Horz">
      <w:rPr>
        <w:color w:val="404040"/>
        <w:sz w:val="22"/>
      </w:rPr>
      <w:tblPr/>
      <w:tcPr>
        <w:shd w:val="clear" w:color="F2F2F2" w:fill="F2F2F2" w:themeFill="text1" w:themeFillTint="d"/>
      </w:tcPr>
    </w:tblStylePr>
  </w:style>
  <w:style w:type="table" w:customStyle="1" w:styleId="Lined-Accent1">
    <w:name w:val="Lined - Accent 1"/>
    <w:basedOn w:val="a1"/>
    <w:uiPriority w:val="99"/>
    <w:rPr>
      <w:color w:val="404040"/>
    </w:rPr>
    <w:tblPr>
      <w:tblStyleRowBandSize w:val="1"/>
      <w:tblStyleColBandSize w:val="1"/>
    </w:tblPr>
    <w:tblStylePr w:type="firstRow">
      <w:rPr>
        <w:color w:val="F2F2F2"/>
        <w:sz w:val="22"/>
      </w:rPr>
      <w:tblPr/>
      <w:tcPr>
        <w:shd w:val="clear" w:color="68A2D8" w:fill="68A2D8" w:themeFill="accent1" w:themeFillTint="ea"/>
      </w:tcPr>
    </w:tblStylePr>
    <w:tblStylePr w:type="lastRow">
      <w:rPr>
        <w:color w:val="F2F2F2"/>
        <w:sz w:val="22"/>
      </w:rPr>
      <w:tblPr/>
      <w:tcPr>
        <w:shd w:val="clear" w:color="68A2D8" w:fill="68A2D8" w:themeFill="accent1" w:themeFillTint="ea"/>
      </w:tcPr>
    </w:tblStylePr>
    <w:tblStylePr w:type="firstCol">
      <w:rPr>
        <w:color w:val="F2F2F2"/>
        <w:sz w:val="22"/>
      </w:rPr>
      <w:tblPr/>
      <w:tcPr>
        <w:shd w:val="clear" w:color="68A2D8" w:fill="68A2D8" w:themeFill="accent1" w:themeFillTint="ea"/>
      </w:tcPr>
    </w:tblStylePr>
    <w:tblStylePr w:type="lastCol">
      <w:rPr>
        <w:color w:val="F2F2F2"/>
        <w:sz w:val="22"/>
      </w:rPr>
      <w:tblPr/>
      <w:tcPr>
        <w:shd w:val="clear" w:color="68A2D8" w:fill="68A2D8" w:themeFill="accent1" w:themeFillTint="ea"/>
      </w:tcPr>
    </w:tblStylePr>
    <w:tblStylePr w:type="band1Vert">
      <w:rPr>
        <w:color w:val="404040"/>
        <w:sz w:val="22"/>
      </w:rPr>
      <w:tblPr/>
    </w:tblStylePr>
    <w:tblStylePr w:type="band2Vert">
      <w:rPr>
        <w:color w:val="404040"/>
        <w:sz w:val="22"/>
      </w:rPr>
      <w:tblPr/>
      <w:tcPr>
        <w:shd w:val="clear" w:color="CBDFF1" w:fill="CBDFF1" w:themeFill="accent1" w:themeFillTint="50"/>
      </w:tcPr>
    </w:tblStylePr>
    <w:tblStylePr w:type="band1Horz">
      <w:rPr>
        <w:color w:val="404040"/>
        <w:sz w:val="22"/>
      </w:rPr>
      <w:tblPr/>
    </w:tblStylePr>
    <w:tblStylePr w:type="band2Horz">
      <w:rPr>
        <w:color w:val="404040"/>
        <w:sz w:val="22"/>
      </w:rPr>
      <w:tblPr/>
      <w:tcPr>
        <w:shd w:val="clear" w:color="CBDFF1"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Pr/>
    </w:tblStylePr>
    <w:tblStylePr w:type="band2Vert">
      <w:rPr>
        <w:color w:val="404040"/>
        <w:sz w:val="22"/>
      </w:rPr>
      <w:tblPr/>
      <w:tcPr>
        <w:shd w:val="clear" w:color="FBE5D6" w:fill="FBE5D6" w:themeFill="accent2" w:themeFillTint="32"/>
      </w:tcPr>
    </w:tblStylePr>
    <w:tblStylePr w:type="band1Horz">
      <w:rPr>
        <w:color w:val="404040"/>
        <w:sz w:val="22"/>
      </w:rPr>
      <w:tblPr/>
    </w:tblStylePr>
    <w:tblStylePr w:type="band2Horz">
      <w:rPr>
        <w:color w:val="404040"/>
        <w:sz w:val="22"/>
      </w:rPr>
      <w:tblPr/>
      <w:tcPr>
        <w:shd w:val="clear" w:color="FBE5D6"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Pr/>
    </w:tblStylePr>
    <w:tblStylePr w:type="band2Vert">
      <w:rPr>
        <w:color w:val="404040"/>
        <w:sz w:val="22"/>
      </w:rPr>
      <w:tblPr/>
      <w:tcPr>
        <w:shd w:val="clear" w:color="ECECEC" w:fill="ECECEC" w:themeFill="accent3" w:themeFillTint="34"/>
      </w:tcPr>
    </w:tblStylePr>
    <w:tblStylePr w:type="band1Horz">
      <w:rPr>
        <w:color w:val="404040"/>
        <w:sz w:val="22"/>
      </w:rPr>
      <w:tblPr/>
    </w:tblStylePr>
    <w:tblStylePr w:type="band2Horz">
      <w:rPr>
        <w:color w:val="404040"/>
        <w:sz w:val="22"/>
      </w:rPr>
      <w:tblPr/>
      <w:tcPr>
        <w:shd w:val="clear" w:color="ECECEC"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Pr/>
    </w:tblStylePr>
    <w:tblStylePr w:type="band2Vert">
      <w:rPr>
        <w:color w:val="404040"/>
        <w:sz w:val="22"/>
      </w:rPr>
      <w:tblPr/>
      <w:tcPr>
        <w:shd w:val="clear" w:color="FFF2CB" w:fill="FFF2CB" w:themeFill="accent4" w:themeFillTint="34"/>
      </w:tcPr>
    </w:tblStylePr>
    <w:tblStylePr w:type="band1Horz">
      <w:rPr>
        <w:color w:val="404040"/>
        <w:sz w:val="22"/>
      </w:rPr>
      <w:tblPr/>
    </w:tblStylePr>
    <w:tblStylePr w:type="band2Horz">
      <w:rPr>
        <w:color w:val="404040"/>
        <w:sz w:val="22"/>
      </w:rPr>
      <w:tblPr/>
      <w:tcPr>
        <w:shd w:val="clear" w:color="FFF2CB"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color w:val="F2F2F2"/>
        <w:sz w:val="22"/>
      </w:rPr>
      <w:tblPr/>
      <w:tcPr>
        <w:shd w:val="clear" w:color="4472C4" w:fill="4472C4" w:themeFill="accent5"/>
      </w:tcPr>
    </w:tblStylePr>
    <w:tblStylePr w:type="lastRow">
      <w:rPr>
        <w:color w:val="F2F2F2"/>
        <w:sz w:val="22"/>
      </w:rPr>
      <w:tblPr/>
      <w:tcPr>
        <w:shd w:val="clear" w:color="4472C4" w:fill="4472C4" w:themeFill="accent5"/>
      </w:tcPr>
    </w:tblStylePr>
    <w:tblStylePr w:type="firstCol">
      <w:rPr>
        <w:color w:val="F2F2F2"/>
        <w:sz w:val="22"/>
      </w:rPr>
      <w:tblPr/>
      <w:tcPr>
        <w:shd w:val="clear" w:color="4472C4" w:fill="4472C4" w:themeFill="accent5"/>
      </w:tcPr>
    </w:tblStylePr>
    <w:tblStylePr w:type="lastCol">
      <w:rPr>
        <w:color w:val="F2F2F2"/>
        <w:sz w:val="22"/>
      </w:rPr>
      <w:tblPr/>
      <w:tcPr>
        <w:shd w:val="clear" w:color="4472C4" w:fill="4472C4" w:themeFill="accent5"/>
      </w:tcPr>
    </w:tblStylePr>
    <w:tblStylePr w:type="band1Vert">
      <w:rPr>
        <w:color w:val="404040"/>
        <w:sz w:val="22"/>
      </w:rPr>
      <w:tblPr/>
    </w:tblStylePr>
    <w:tblStylePr w:type="band2Vert">
      <w:rPr>
        <w:color w:val="404040"/>
        <w:sz w:val="22"/>
      </w:rPr>
      <w:tblPr/>
      <w:tcPr>
        <w:shd w:val="clear" w:color="D8E2F3" w:fill="D8E2F3" w:themeFill="accent5" w:themeFillTint="34"/>
      </w:tcPr>
    </w:tblStylePr>
    <w:tblStylePr w:type="band1Horz">
      <w:rPr>
        <w:color w:val="404040"/>
        <w:sz w:val="22"/>
      </w:rPr>
      <w:tblPr/>
    </w:tblStylePr>
    <w:tblStylePr w:type="band2Horz">
      <w:rPr>
        <w:color w:val="404040"/>
        <w:sz w:val="22"/>
      </w:rPr>
      <w:tblPr/>
      <w:tcPr>
        <w:shd w:val="clear" w:color="D8E2F3"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Pr/>
    </w:tblStylePr>
    <w:tblStylePr w:type="band2Vert">
      <w:rPr>
        <w:color w:val="404040"/>
        <w:sz w:val="22"/>
      </w:rPr>
      <w:tblPr/>
      <w:tcPr>
        <w:shd w:val="clear" w:color="E1EFD8" w:fill="E1EFD8" w:themeFill="accent6" w:themeFillTint="34"/>
      </w:tcPr>
    </w:tblStylePr>
    <w:tblStylePr w:type="band1Horz">
      <w:rPr>
        <w:color w:val="404040"/>
        <w:sz w:val="22"/>
      </w:rPr>
      <w:tblPr/>
    </w:tblStylePr>
    <w:tblStylePr w:type="band2Horz">
      <w:rPr>
        <w:color w:val="404040"/>
        <w:sz w:val="22"/>
      </w:rPr>
      <w:tblPr/>
      <w:tcPr>
        <w:shd w:val="clear" w:color="E1EFD8"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Pr/>
    </w:tblStylePr>
    <w:tblStylePr w:type="band2Vert">
      <w:rPr>
        <w:color w:val="404040"/>
        <w:sz w:val="22"/>
      </w:rPr>
      <w:tblPr/>
      <w:tcPr>
        <w:shd w:val="clear" w:color="F2F2F2" w:fill="F2F2F2" w:themeFill="text1" w:themeFillTint="d"/>
      </w:tcPr>
    </w:tblStylePr>
    <w:tblStylePr w:type="band1Horz">
      <w:rPr>
        <w:color w:val="404040"/>
        <w:sz w:val="22"/>
      </w:rPr>
      <w:tblPr/>
    </w:tblStylePr>
    <w:tblStylePr w:type="band2Horz">
      <w:rPr>
        <w:color w:val="404040"/>
        <w:sz w:val="22"/>
      </w:rPr>
      <w:tblPr/>
      <w:tcPr>
        <w:shd w:val="clear" w:color="F2F2F2" w:fill="F2F2F2" w:themeFill="text1" w:themeFillTint="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color="245A8D" w:themeColor="accent1" w:sz="4" w:space="0"/>
        <w:left w:val="single" w:color="245A8D" w:themeColor="accent1" w:sz="4" w:space="0"/>
        <w:bottom w:val="single" w:color="245A8D" w:themeColor="accent1" w:sz="4" w:space="0"/>
        <w:right w:val="single" w:color="245A8D" w:themeColor="accent1" w:sz="4" w:space="0"/>
        <w:insideH w:val="single" w:color="245A8D" w:themeColor="accent1" w:sz="4" w:space="0"/>
        <w:insideV w:val="single" w:color="245A8D" w:themeColor="accent1" w:sz="4" w:space="0"/>
      </w:tblBorders>
    </w:tblPr>
    <w:tblStylePr w:type="firstRow">
      <w:rPr>
        <w:color w:val="F2F2F2"/>
        <w:sz w:val="22"/>
      </w:rPr>
      <w:tblPr/>
      <w:tcPr>
        <w:shd w:val="clear" w:color="68A2D8" w:fill="68A2D8" w:themeFill="accent1" w:themeFillTint="ea"/>
      </w:tcPr>
    </w:tblStylePr>
    <w:tblStylePr w:type="lastRow">
      <w:rPr>
        <w:color w:val="F2F2F2"/>
        <w:sz w:val="22"/>
      </w:rPr>
      <w:tblPr/>
      <w:tcPr>
        <w:shd w:val="clear" w:color="68A2D8" w:fill="68A2D8" w:themeFill="accent1" w:themeFillTint="ea"/>
      </w:tcPr>
    </w:tblStylePr>
    <w:tblStylePr w:type="firstCol">
      <w:rPr>
        <w:color w:val="F2F2F2"/>
        <w:sz w:val="22"/>
      </w:rPr>
      <w:tblPr/>
      <w:tcPr>
        <w:shd w:val="clear" w:color="68A2D8" w:fill="68A2D8" w:themeFill="accent1" w:themeFillTint="ea"/>
      </w:tcPr>
    </w:tblStylePr>
    <w:tblStylePr w:type="lastCol">
      <w:rPr>
        <w:color w:val="F2F2F2"/>
        <w:sz w:val="22"/>
      </w:rPr>
      <w:tblPr/>
      <w:tcPr>
        <w:shd w:val="clear" w:color="68A2D8" w:fill="68A2D8" w:themeFill="accent1" w:themeFillTint="ea"/>
      </w:tcPr>
    </w:tblStylePr>
    <w:tblStylePr w:type="band1Vert">
      <w:rPr>
        <w:color w:val="404040"/>
        <w:sz w:val="22"/>
      </w:rPr>
      <w:tblPr/>
    </w:tblStylePr>
    <w:tblStylePr w:type="band2Vert">
      <w:rPr>
        <w:color w:val="404040"/>
        <w:sz w:val="22"/>
      </w:rPr>
      <w:tblPr/>
      <w:tcPr>
        <w:shd w:val="clear" w:color="CBDFF1" w:fill="CBDFF1" w:themeFill="accent1" w:themeFillTint="50"/>
      </w:tcPr>
    </w:tblStylePr>
    <w:tblStylePr w:type="band1Horz">
      <w:rPr>
        <w:color w:val="404040"/>
        <w:sz w:val="22"/>
      </w:rPr>
      <w:tblPr/>
    </w:tblStylePr>
    <w:tblStylePr w:type="band2Horz">
      <w:rPr>
        <w:color w:val="404040"/>
        <w:sz w:val="22"/>
      </w:rPr>
      <w:tblPr/>
      <w:tcPr>
        <w:shd w:val="clear" w:color="CBDFF1"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color="99460D" w:themeColor="accent2" w:sz="4" w:space="0"/>
        <w:left w:val="single" w:color="99460D" w:themeColor="accent2" w:sz="4" w:space="0"/>
        <w:bottom w:val="single" w:color="99460D" w:themeColor="accent2" w:sz="4" w:space="0"/>
        <w:right w:val="single" w:color="99460D" w:themeColor="accent2" w:sz="4" w:space="0"/>
        <w:insideH w:val="single" w:color="99460D" w:themeColor="accent2" w:sz="4" w:space="0"/>
        <w:insideV w:val="single" w:color="99460D" w:themeColor="accent2" w:sz="4" w:space="0"/>
      </w:tblBorders>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Pr/>
    </w:tblStylePr>
    <w:tblStylePr w:type="band2Vert">
      <w:rPr>
        <w:color w:val="404040"/>
        <w:sz w:val="22"/>
      </w:rPr>
      <w:tblPr/>
      <w:tcPr>
        <w:shd w:val="clear" w:color="FBE5D6" w:fill="FBE5D6" w:themeFill="accent2" w:themeFillTint="32"/>
      </w:tcPr>
    </w:tblStylePr>
    <w:tblStylePr w:type="band1Horz">
      <w:rPr>
        <w:color w:val="404040"/>
        <w:sz w:val="22"/>
      </w:rPr>
      <w:tblPr/>
    </w:tblStylePr>
    <w:tblStylePr w:type="band2Horz">
      <w:rPr>
        <w:color w:val="404040"/>
        <w:sz w:val="22"/>
      </w:rPr>
      <w:tblPr/>
      <w:tcPr>
        <w:shd w:val="clear" w:color="FBE5D6"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color="606060" w:themeColor="accent3" w:sz="4" w:space="0"/>
        <w:left w:val="single" w:color="606060" w:themeColor="accent3" w:sz="4" w:space="0"/>
        <w:bottom w:val="single" w:color="606060" w:themeColor="accent3" w:sz="4" w:space="0"/>
        <w:right w:val="single" w:color="606060" w:themeColor="accent3" w:sz="4" w:space="0"/>
        <w:insideH w:val="single" w:color="606060" w:themeColor="accent3" w:sz="4" w:space="0"/>
        <w:insideV w:val="single" w:color="606060" w:themeColor="accent3" w:sz="4" w:space="0"/>
      </w:tblBorders>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Pr/>
    </w:tblStylePr>
    <w:tblStylePr w:type="band2Vert">
      <w:rPr>
        <w:color w:val="404040"/>
        <w:sz w:val="22"/>
      </w:rPr>
      <w:tblPr/>
      <w:tcPr>
        <w:shd w:val="clear" w:color="ECECEC" w:fill="ECECEC" w:themeFill="accent3" w:themeFillTint="34"/>
      </w:tcPr>
    </w:tblStylePr>
    <w:tblStylePr w:type="band1Horz">
      <w:rPr>
        <w:color w:val="404040"/>
        <w:sz w:val="22"/>
      </w:rPr>
      <w:tblPr/>
    </w:tblStylePr>
    <w:tblStylePr w:type="band2Horz">
      <w:rPr>
        <w:color w:val="404040"/>
        <w:sz w:val="22"/>
      </w:rPr>
      <w:tblPr/>
      <w:tcPr>
        <w:shd w:val="clear" w:color="ECECEC"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color="957000" w:themeColor="accent4" w:sz="4" w:space="0"/>
        <w:left w:val="single" w:color="957000" w:themeColor="accent4" w:sz="4" w:space="0"/>
        <w:bottom w:val="single" w:color="957000" w:themeColor="accent4" w:sz="4" w:space="0"/>
        <w:right w:val="single" w:color="957000" w:themeColor="accent4" w:sz="4" w:space="0"/>
        <w:insideH w:val="single" w:color="957000" w:themeColor="accent4" w:sz="4" w:space="0"/>
        <w:insideV w:val="single" w:color="957000" w:themeColor="accent4" w:sz="4" w:space="0"/>
      </w:tblBorders>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Pr/>
    </w:tblStylePr>
    <w:tblStylePr w:type="band2Vert">
      <w:rPr>
        <w:color w:val="404040"/>
        <w:sz w:val="22"/>
      </w:rPr>
      <w:tblPr/>
      <w:tcPr>
        <w:shd w:val="clear" w:color="FFF2CB" w:fill="FFF2CB" w:themeFill="accent4" w:themeFillTint="34"/>
      </w:tcPr>
    </w:tblStylePr>
    <w:tblStylePr w:type="band1Horz">
      <w:rPr>
        <w:color w:val="404040"/>
        <w:sz w:val="22"/>
      </w:rPr>
      <w:tblPr/>
    </w:tblStylePr>
    <w:tblStylePr w:type="band2Horz">
      <w:rPr>
        <w:color w:val="404040"/>
        <w:sz w:val="22"/>
      </w:rPr>
      <w:tblPr/>
      <w:tcPr>
        <w:shd w:val="clear" w:color="FFF2CB"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color="254175" w:themeColor="accent5" w:sz="4" w:space="0"/>
        <w:left w:val="single" w:color="254175" w:themeColor="accent5" w:sz="4" w:space="0"/>
        <w:bottom w:val="single" w:color="254175" w:themeColor="accent5" w:sz="4" w:space="0"/>
        <w:right w:val="single" w:color="254175" w:themeColor="accent5" w:sz="4" w:space="0"/>
        <w:insideH w:val="single" w:color="254175" w:themeColor="accent5" w:sz="4" w:space="0"/>
        <w:insideV w:val="single" w:color="254175" w:themeColor="accent5" w:sz="4" w:space="0"/>
      </w:tblBorders>
    </w:tblPr>
    <w:tblStylePr w:type="firstRow">
      <w:rPr>
        <w:color w:val="F2F2F2"/>
        <w:sz w:val="22"/>
      </w:rPr>
      <w:tblPr/>
      <w:tcPr>
        <w:shd w:val="clear" w:color="4472C4" w:fill="4472C4" w:themeFill="accent5"/>
      </w:tcPr>
    </w:tblStylePr>
    <w:tblStylePr w:type="lastRow">
      <w:rPr>
        <w:color w:val="F2F2F2"/>
        <w:sz w:val="22"/>
      </w:rPr>
      <w:tblPr/>
      <w:tcPr>
        <w:shd w:val="clear" w:color="4472C4" w:fill="4472C4" w:themeFill="accent5"/>
      </w:tcPr>
    </w:tblStylePr>
    <w:tblStylePr w:type="firstCol">
      <w:rPr>
        <w:color w:val="F2F2F2"/>
        <w:sz w:val="22"/>
      </w:rPr>
      <w:tblPr/>
      <w:tcPr>
        <w:shd w:val="clear" w:color="4472C4" w:fill="4472C4" w:themeFill="accent5"/>
      </w:tcPr>
    </w:tblStylePr>
    <w:tblStylePr w:type="lastCol">
      <w:rPr>
        <w:color w:val="F2F2F2"/>
        <w:sz w:val="22"/>
      </w:rPr>
      <w:tblPr/>
      <w:tcPr>
        <w:shd w:val="clear" w:color="4472C4" w:fill="4472C4" w:themeFill="accent5"/>
      </w:tcPr>
    </w:tblStylePr>
    <w:tblStylePr w:type="band1Vert">
      <w:rPr>
        <w:color w:val="404040"/>
        <w:sz w:val="22"/>
      </w:rPr>
      <w:tblPr/>
    </w:tblStylePr>
    <w:tblStylePr w:type="band2Vert">
      <w:rPr>
        <w:color w:val="404040"/>
        <w:sz w:val="22"/>
      </w:rPr>
      <w:tblPr/>
      <w:tcPr>
        <w:shd w:val="clear" w:color="D8E2F3" w:fill="D8E2F3" w:themeFill="accent5" w:themeFillTint="34"/>
      </w:tcPr>
    </w:tblStylePr>
    <w:tblStylePr w:type="band1Horz">
      <w:rPr>
        <w:color w:val="404040"/>
        <w:sz w:val="22"/>
      </w:rPr>
      <w:tblPr/>
    </w:tblStylePr>
    <w:tblStylePr w:type="band2Horz">
      <w:rPr>
        <w:color w:val="404040"/>
        <w:sz w:val="22"/>
      </w:rPr>
      <w:tblPr/>
      <w:tcPr>
        <w:shd w:val="clear" w:color="D8E2F3"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color="416429" w:themeColor="accent6" w:sz="4" w:space="0"/>
        <w:left w:val="single" w:color="416429" w:themeColor="accent6" w:sz="4" w:space="0"/>
        <w:bottom w:val="single" w:color="416429" w:themeColor="accent6" w:sz="4" w:space="0"/>
        <w:right w:val="single" w:color="416429" w:themeColor="accent6" w:sz="4" w:space="0"/>
        <w:insideH w:val="single" w:color="416429" w:themeColor="accent6" w:sz="4" w:space="0"/>
        <w:insideV w:val="single" w:color="416429" w:themeColor="accent6" w:sz="4" w:space="0"/>
      </w:tblBorders>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Pr/>
    </w:tblStylePr>
    <w:tblStylePr w:type="band2Vert">
      <w:rPr>
        <w:color w:val="404040"/>
        <w:sz w:val="22"/>
      </w:rPr>
      <w:tblPr/>
      <w:tcPr>
        <w:shd w:val="clear" w:color="E1EFD8" w:fill="E1EFD8" w:themeFill="accent6" w:themeFillTint="34"/>
      </w:tcPr>
    </w:tblStylePr>
    <w:tblStylePr w:type="band1Horz">
      <w:rPr>
        <w:color w:val="404040"/>
        <w:sz w:val="22"/>
      </w:rPr>
      <w:tblPr/>
    </w:tblStylePr>
    <w:tblStylePr w:type="band2Horz">
      <w:rPr>
        <w:color w:val="404040"/>
        <w:sz w:val="22"/>
      </w:rPr>
      <w:tblPr/>
      <w:tcPr>
        <w:shd w:val="clear" w:color="E1EFD8" w:fill="E1EFD8" w:themeFill="accent6" w:themeFillTint="34"/>
      </w:tcPr>
    </w:tblStylePr>
  </w:style>
  <w:style w:type="table" w:customStyle="1" w:styleId="Bordered">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color w:val="404040"/>
        <w:sz w:val="22"/>
      </w:rPr>
      <w:tblPr/>
      <w:tcPr>
        <w:tcBorders>
          <w:bottom w:val="single" w:color="7F7F7F" w:themeColor="text1" w:sz="12" w:space="0"/>
        </w:tcBorders>
      </w:tcPr>
    </w:tblStylePr>
    <w:tblStylePr w:type="lastRow">
      <w:rPr>
        <w:color w:val="404040"/>
        <w:sz w:val="22"/>
      </w:rPr>
      <w:tblPr/>
      <w:tcPr>
        <w:tcBorders>
          <w:top w:val="single" w:color="7F7F7F" w:themeColor="text1" w:sz="12" w:space="0"/>
        </w:tcBorders>
      </w:tcPr>
    </w:tblStylePr>
    <w:tblStylePr w:type="firstCol">
      <w:rPr>
        <w:color w:val="404040"/>
        <w:sz w:val="22"/>
      </w:rPr>
      <w:tblPr/>
    </w:tblStylePr>
    <w:tblStylePr w:type="lastCol">
      <w:rPr>
        <w:color w:val="404040"/>
        <w:sz w:val="22"/>
      </w:rPr>
      <w:tblPr/>
      <w:tcPr>
        <w:tcBorders>
          <w:left w:val="single" w:color="7F7F7F" w:themeColor="text1" w:sz="12" w:space="0"/>
        </w:tcBorders>
      </w:tcPr>
    </w:tblStylePr>
    <w:tblStylePr w:type="band1Horz">
      <w:rPr>
        <w:color w:val="404040"/>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a1"/>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color w:val="404040"/>
        <w:sz w:val="22"/>
      </w:rPr>
      <w:tblPr/>
      <w:tcPr>
        <w:tcBorders>
          <w:bottom w:val="single" w:color="5B9BD5" w:themeColor="accent1" w:sz="12" w:space="0"/>
        </w:tcBorders>
      </w:tcPr>
    </w:tblStylePr>
    <w:tblStylePr w:type="lastRow">
      <w:rPr>
        <w:color w:val="404040"/>
        <w:sz w:val="22"/>
      </w:rPr>
      <w:tblPr/>
      <w:tcPr>
        <w:tcBorders>
          <w:top w:val="single" w:color="5B9BD5" w:themeColor="accent1" w:sz="12" w:space="0"/>
        </w:tcBorders>
      </w:tcPr>
    </w:tblStylePr>
    <w:tblStylePr w:type="firstCol">
      <w:rPr>
        <w:color w:val="404040"/>
        <w:sz w:val="22"/>
      </w:rPr>
      <w:tblPr/>
    </w:tblStylePr>
    <w:tblStylePr w:type="lastCol">
      <w:rPr>
        <w:color w:val="404040"/>
        <w:sz w:val="22"/>
      </w:rPr>
      <w:tblPr/>
      <w:tcPr>
        <w:tcBorders>
          <w:left w:val="single" w:color="5B9BD5" w:themeColor="accent1" w:sz="12" w:space="0"/>
        </w:tcBorders>
      </w:tcPr>
    </w:tblStylePr>
    <w:tblStylePr w:type="band1Horz">
      <w:rPr>
        <w:color w:val="404040"/>
        <w:sz w:val="22"/>
      </w:rPr>
      <w:tblPr/>
      <w:tcPr>
        <w:tcBorders>
          <w:top w:val="single" w:color="BCD6EE" w:themeColor="accent1" w:sz="4" w:space="0"/>
          <w:left w:val="single" w:color="BCD6EE" w:themeColor="accent1" w:sz="4" w:space="0"/>
          <w:bottom w:val="single" w:color="BCD6EE" w:themeColor="accent1" w:sz="4" w:space="0"/>
          <w:right w:val="single" w:color="BCD6EE" w:themeColor="accent1" w:sz="4" w:space="0"/>
        </w:tcBorders>
      </w:tcPr>
    </w:tblStylePr>
  </w:style>
  <w:style w:type="table" w:customStyle="1" w:styleId="Bordered-Accent2">
    <w:name w:val="Bordered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color w:val="404040"/>
        <w:sz w:val="22"/>
      </w:rPr>
      <w:tblPr/>
      <w:tcPr>
        <w:tcBorders>
          <w:bottom w:val="single" w:color="F4B184" w:themeColor="accent2" w:sz="12" w:space="0"/>
        </w:tcBorders>
      </w:tcPr>
    </w:tblStylePr>
    <w:tblStylePr w:type="lastRow">
      <w:rPr>
        <w:color w:val="404040"/>
        <w:sz w:val="22"/>
      </w:rPr>
      <w:tblPr/>
      <w:tcPr>
        <w:tcBorders>
          <w:top w:val="single" w:color="F4B184" w:themeColor="accent2" w:sz="12" w:space="0"/>
        </w:tcBorders>
      </w:tcPr>
    </w:tblStylePr>
    <w:tblStylePr w:type="firstCol">
      <w:rPr>
        <w:color w:val="404040"/>
        <w:sz w:val="22"/>
      </w:rPr>
      <w:tblPr/>
    </w:tblStylePr>
    <w:tblStylePr w:type="lastCol">
      <w:rPr>
        <w:color w:val="404040"/>
        <w:sz w:val="22"/>
      </w:rPr>
      <w:tblPr/>
      <w:tcPr>
        <w:tcBorders>
          <w:left w:val="single" w:color="F4B184" w:themeColor="accent2" w:sz="12" w:space="0"/>
        </w:tcBorders>
      </w:tcPr>
    </w:tblStylePr>
    <w:tblStylePr w:type="band1Horz">
      <w:rPr>
        <w:color w:val="404040"/>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Bordered-Accent3">
    <w:name w:val="Bordered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color w:val="404040"/>
        <w:sz w:val="22"/>
      </w:rPr>
      <w:tblPr/>
      <w:tcPr>
        <w:tcBorders>
          <w:bottom w:val="single" w:color="C9C9C9" w:themeColor="accent3" w:sz="12" w:space="0"/>
        </w:tcBorders>
      </w:tcPr>
    </w:tblStylePr>
    <w:tblStylePr w:type="lastRow">
      <w:rPr>
        <w:color w:val="404040"/>
        <w:sz w:val="22"/>
      </w:rPr>
      <w:tblPr/>
      <w:tcPr>
        <w:tcBorders>
          <w:top w:val="single" w:color="C9C9C9" w:themeColor="accent3" w:sz="12" w:space="0"/>
        </w:tcBorders>
      </w:tcPr>
    </w:tblStylePr>
    <w:tblStylePr w:type="firstCol">
      <w:rPr>
        <w:color w:val="404040"/>
        <w:sz w:val="22"/>
      </w:rPr>
      <w:tblPr/>
    </w:tblStylePr>
    <w:tblStylePr w:type="lastCol">
      <w:rPr>
        <w:color w:val="404040"/>
        <w:sz w:val="22"/>
      </w:rPr>
      <w:tblPr/>
      <w:tcPr>
        <w:tcBorders>
          <w:left w:val="single" w:color="C9C9C9" w:themeColor="accent3" w:sz="12" w:space="0"/>
        </w:tcBorders>
      </w:tcPr>
    </w:tblStylePr>
    <w:tblStylePr w:type="band1Horz">
      <w:rPr>
        <w:color w:val="404040"/>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Bordered-Accent4">
    <w:name w:val="Bordered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color w:val="404040"/>
        <w:sz w:val="22"/>
      </w:rPr>
      <w:tblPr/>
      <w:tcPr>
        <w:tcBorders>
          <w:bottom w:val="single" w:color="FFD865" w:themeColor="accent4" w:sz="12" w:space="0"/>
        </w:tcBorders>
      </w:tcPr>
    </w:tblStylePr>
    <w:tblStylePr w:type="lastRow">
      <w:rPr>
        <w:color w:val="404040"/>
        <w:sz w:val="22"/>
      </w:rPr>
      <w:tblPr/>
      <w:tcPr>
        <w:tcBorders>
          <w:top w:val="single" w:color="FFD865" w:themeColor="accent4" w:sz="12" w:space="0"/>
        </w:tcBorders>
      </w:tcPr>
    </w:tblStylePr>
    <w:tblStylePr w:type="firstCol">
      <w:rPr>
        <w:color w:val="404040"/>
        <w:sz w:val="22"/>
      </w:rPr>
      <w:tblPr/>
    </w:tblStylePr>
    <w:tblStylePr w:type="lastCol">
      <w:rPr>
        <w:color w:val="404040"/>
        <w:sz w:val="22"/>
      </w:rPr>
      <w:tblPr/>
      <w:tcPr>
        <w:tcBorders>
          <w:left w:val="single" w:color="FFD865" w:themeColor="accent4" w:sz="12" w:space="0"/>
        </w:tcBorders>
      </w:tcPr>
    </w:tblStylePr>
    <w:tblStylePr w:type="band1Horz">
      <w:rPr>
        <w:color w:val="404040"/>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Bordered-Accent5">
    <w:name w:val="Bordered - Accent 5"/>
    <w:basedOn w:val="a1"/>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color w:val="404040"/>
        <w:sz w:val="22"/>
      </w:rPr>
      <w:tblPr/>
      <w:tcPr>
        <w:tcBorders>
          <w:bottom w:val="single" w:color="8DA9DB" w:themeColor="accent5" w:sz="12" w:space="0"/>
        </w:tcBorders>
      </w:tcPr>
    </w:tblStylePr>
    <w:tblStylePr w:type="lastRow">
      <w:rPr>
        <w:color w:val="404040"/>
        <w:sz w:val="22"/>
      </w:rPr>
      <w:tblPr/>
      <w:tcPr>
        <w:tcBorders>
          <w:top w:val="single" w:color="8DA9DB" w:themeColor="accent5" w:sz="12" w:space="0"/>
        </w:tcBorders>
      </w:tcPr>
    </w:tblStylePr>
    <w:tblStylePr w:type="firstCol">
      <w:rPr>
        <w:color w:val="404040"/>
        <w:sz w:val="22"/>
      </w:rPr>
      <w:tblPr/>
    </w:tblStylePr>
    <w:tblStylePr w:type="lastCol">
      <w:rPr>
        <w:color w:val="404040"/>
        <w:sz w:val="22"/>
      </w:rPr>
      <w:tblPr/>
      <w:tcPr>
        <w:tcBorders>
          <w:left w:val="single" w:color="8DA9DB" w:themeColor="accent5" w:sz="12" w:space="0"/>
        </w:tcBorders>
      </w:tcPr>
    </w:tblStylePr>
    <w:tblStylePr w:type="band1Horz">
      <w:rPr>
        <w:color w:val="404040"/>
        <w:sz w:val="22"/>
      </w:rPr>
      <w:tblPr/>
      <w:tcPr>
        <w:tcBorders>
          <w:top w:val="single" w:color="B3C5E7" w:themeColor="accent5" w:sz="4" w:space="0"/>
          <w:left w:val="single" w:color="B3C5E7" w:themeColor="accent5" w:sz="4" w:space="0"/>
          <w:bottom w:val="single" w:color="B3C5E7" w:themeColor="accent5" w:sz="4" w:space="0"/>
          <w:right w:val="single" w:color="B3C5E7" w:themeColor="accent5" w:sz="4" w:space="0"/>
        </w:tcBorders>
      </w:tcPr>
    </w:tblStylePr>
  </w:style>
  <w:style w:type="table" w:customStyle="1" w:styleId="Bordered-Accent6">
    <w:name w:val="Bordered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color w:val="404040"/>
        <w:sz w:val="22"/>
      </w:rPr>
      <w:tblPr/>
      <w:tcPr>
        <w:tcBorders>
          <w:bottom w:val="single" w:color="A9D08E" w:themeColor="accent6" w:sz="12" w:space="0"/>
        </w:tcBorders>
      </w:tcPr>
    </w:tblStylePr>
    <w:tblStylePr w:type="lastRow">
      <w:rPr>
        <w:color w:val="404040"/>
        <w:sz w:val="22"/>
      </w:rPr>
      <w:tblPr/>
      <w:tcPr>
        <w:tcBorders>
          <w:top w:val="single" w:color="A9D08E" w:themeColor="accent6" w:sz="12" w:space="0"/>
        </w:tcBorders>
      </w:tcPr>
    </w:tblStylePr>
    <w:tblStylePr w:type="firstCol">
      <w:rPr>
        <w:color w:val="404040"/>
        <w:sz w:val="22"/>
      </w:rPr>
      <w:tblPr/>
    </w:tblStylePr>
    <w:tblStylePr w:type="lastCol">
      <w:rPr>
        <w:color w:val="404040"/>
        <w:sz w:val="22"/>
      </w:rPr>
      <w:tblPr/>
      <w:tcPr>
        <w:tcBorders>
          <w:left w:val="single" w:color="A9D08E" w:themeColor="accent6" w:sz="12" w:space="0"/>
        </w:tcBorders>
      </w:tcPr>
    </w:tblStylePr>
    <w:tblStylePr w:type="band1Horz">
      <w:rPr>
        <w:color w:val="404040"/>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 w:type="table" w:styleId="af4">
    <w:name w:val="Table Grid"/>
    <w:basedOn w:val="a1"/>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57E0B1C8ADAC653FBEA55D1E9049ED91A63B5BC1BDB036D12C5B445229pEa3J" TargetMode="External"/><Relationship Id="rId3" Type="http://schemas.openxmlformats.org/officeDocument/2006/relationships/hyperlink" Target="https://mintrud.gov.ru/ministry/programms/anticorruption/9/instruktivno-metodicheskie-materialy-po-fz" TargetMode="External"/><Relationship Id="rId4" Type="http://schemas.openxmlformats.org/officeDocument/2006/relationships/hyperlink" Target="consultantplus://offline/ref=C9E7374AA1332C6CF9FF0059DC9BC42D7E0C4094E90E8D4E87A0DE0B00JBsBL" TargetMode="External"/><Relationship Id="rId5" Type="http://schemas.openxmlformats.org/officeDocument/2006/relationships/hyperlink" Target="consultantplus://offline/ref=176F7DE9F43BBC5D4BD135AAE1CAD04D0FAF9650A130B33DA87DA13E97FAF95DCF18F97FDC1FE2FAH7g2M" TargetMode="External"/><Relationship Id="rId6" Type="http://schemas.openxmlformats.org/officeDocument/2006/relationships/hyperlink" Target="consultantplus://offline/ref=7F2EEDDD06F168B694690D2DE649735BC9E53CBFC16FEC31087E4E96CAJ2nFL" TargetMode="External"/><Relationship Id="rId7" Type="http://schemas.openxmlformats.org/officeDocument/2006/relationships/hyperlink" Target="consultantplus://offline/ref=3743F552A0D416E80BEAF690826125BB530BB097B6A5A5C17137C1E72FF3E91DCF3284BA9D2A6279g3rBM" TargetMode="External"/><Relationship Id="rId8" Type="http://schemas.openxmlformats.org/officeDocument/2006/relationships/hyperlink" Target="consultantplus://offline/ref=7F2EEDDD06F168B694690D2DE649735BC9E53CBFC16FEC31087E4E96CAJ2nFL" TargetMode="External"/><Relationship Id="rId9" Type="http://schemas.openxmlformats.org/officeDocument/2006/relationships/hyperlink" Target="consultantplus://offline/ref=33E7B6DD529722622844D6F9EBC8DBA03B3FAEDA9118A1613233FFF35FCD6ECFCAED66496D73EC2Di9vDO" TargetMode="External"/><Relationship Id="rId10" Type="http://schemas.openxmlformats.org/officeDocument/2006/relationships/hyperlink" Target="https://mintrud.gov.ru/ministry/programms/anticorruption/9/23" TargetMode="External"/><Relationship Id="rId11" Type="http://schemas.openxmlformats.org/officeDocument/2006/relationships/hyperlink" Target="https://mintrud.gov.ru/ministry/programms/anticorruption/9/23" TargetMode="External"/><Relationship Id="rId12" Type="http://schemas.openxmlformats.org/officeDocument/2006/relationships/hyperlink" Target="https://mintrud.gov.ru/ministry/programms/anticorruption/9/23" TargetMode="External"/><Relationship Id="rId13" Type="http://schemas.openxmlformats.org/officeDocument/2006/relationships/hyperlink" Target="https://mintrud.gov.ru/ministry/programms/anticorruption/9/24" TargetMode="External"/><Relationship Id="rId14" Type="http://schemas.openxmlformats.org/officeDocument/2006/relationships/hyperlink" Target="http://www.kremlin.ru/structure/additional/12" TargetMode="External"/><Relationship Id="rId15" Type="http://schemas.openxmlformats.org/officeDocument/2006/relationships/hyperlink" Target="https://gossluzhba.gov.ru/anticorruption/spravki_bk" TargetMode="External"/><Relationship Id="rId16" Type="http://schemas.openxmlformats.org/officeDocument/2006/relationships/hyperlink" Target="https://www.cbr.ru/currency_base/daily/" TargetMode="External"/><Relationship Id="rId17" Type="http://schemas.openxmlformats.org/officeDocument/2006/relationships/hyperlink" Target="https://mintrud.gov.ru/docs/1872" TargetMode="External"/><Relationship Id="rId18" Type="http://schemas.openxmlformats.org/officeDocument/2006/relationships/hyperlink" Target="https://lk.rosreestr.ru/eservices/real-estate-objects-online" TargetMode="External"/><Relationship Id="rId19" Type="http://schemas.openxmlformats.org/officeDocument/2006/relationships/hyperlink" Target="https://www.gibdd.ru/r/77/contacts/div1145039/" TargetMode="External"/><Relationship Id="rId20" Type="http://schemas.openxmlformats.org/officeDocument/2006/relationships/hyperlink" Target="https://www.gibdd.ru/r/66/contacts/div1165058/" TargetMode="External"/><Relationship Id="rId21" Type="http://schemas.openxmlformats.org/officeDocument/2006/relationships/hyperlink" Target="https://www.gibdd.ru/r/66/contacts/div1165043/" TargetMode="External"/><Relationship Id="rId22" Type="http://schemas.openxmlformats.org/officeDocument/2006/relationships/hyperlink" Target="https://cbr.ru/vfs/registers/infr/list_OIS.xlsx" TargetMode="External"/><Relationship Id="rId23" Type="http://schemas.openxmlformats.org/officeDocument/2006/relationships/hyperlink" Target="https://cbr.ru/vfs/registers/infr/list_invest_platform_op.xlsx" TargetMode="External"/><Relationship Id="rId24" Type="http://schemas.openxmlformats.org/officeDocument/2006/relationships/hyperlink" Target="https://www.cbr.ru/hd_base/metall/metall_base_new/" TargetMode="External"/><Relationship Id="rId25" Type="http://schemas.openxmlformats.org/officeDocument/2006/relationships/hyperlink" Target="https://www.nalog.ru/rn77/related_activities/accounting/bank_account/" TargetMode="External"/><Relationship Id="rId26" Type="http://schemas.openxmlformats.org/officeDocument/2006/relationships/hyperlink" Target="https://www.cbr.ru/banking_sector/likvidbase/" TargetMode="External"/><Relationship Id="rId27" Type="http://schemas.openxmlformats.org/officeDocument/2006/relationships/hyperlink" Target="https://mintrud.gov.ru/ministry/programms/anticorruption/9/21" TargetMode="External"/><Relationship Id="rId28" Type="http://schemas.openxmlformats.org/officeDocument/2006/relationships/hyperlink" Target="https://www.cbr.ru/currency_base/daily/" TargetMode="External"/><Relationship Id="rId29" Type="http://schemas.openxmlformats.org/officeDocument/2006/relationships/header" Target="header1.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Relationship Id="rId3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24925-7F85-46E8-A803-C59D46D88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LibreOffice/7.5.4.2$Windows_X86_64 LibreOffice_project/36ccfdc35048b057fd9854c757a8b67ec53977b6</Application>
  <AppVersion>15.0000</AppVersion>
  <Pages>68</Pages>
  <Words>23550</Words>
  <Characters>165976</Characters>
  <CharactersWithSpaces>188674</CharactersWithSpaces>
  <Paragraphs>743</Paragraphs>
  <Company>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2024-02-15T09:42:00Z</dcterms:created>
  <dc:creator>KovalkovaEA</dc:creator>
  <dc:description/>
  <dc:language>ru-RU</dc:language>
  <cp:lastModifiedBy>Панца Екатерина Александровна</cp:lastModifiedBy>
  <cp:lastPrinted>2024-01-31T08:32:00Z</cp:lastPrinted>
  <dcterms:modified xsi:type="dcterms:W3CDTF">2024-02-15T09:42:00Z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